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drawing>
          <wp:inline distT="0" distB="0" distL="0" distR="0">
            <wp:extent cx="2219325"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19325" cy="762000"/>
                    </a:xfrm>
                    <a:prstGeom prst="rect">
                      <a:avLst/>
                    </a:prstGeom>
                  </pic:spPr>
                </pic:pic>
              </a:graphicData>
            </a:graphic>
          </wp:inline>
        </w:drawing>
      </w:r>
    </w:p>
    <w:p>
      <w:pPr>
        <w:spacing w:before="400"/>
        <w:jc w:val="center"/>
      </w:pPr>
      <w:r>
        <w:rPr>
          <w:b/>
          <w:bCs/>
          <w:color w:val="595959"/>
          <w:sz w:val="24"/>
          <w:szCs w:val="24"/>
        </w:rPr>
        <w:t xml:space="preserve">STŘEDNÍ ODBORNÁ ŠKOLA OLOMOUC</w:t>
      </w:r>
    </w:p>
    <w:p>
      <w:pPr>
        <w:spacing w:before="200"/>
        <w:jc w:val="center"/>
      </w:pPr>
      <w:r>
        <w:rPr>
          <w:color w:val="595959"/>
          <w:sz w:val="20"/>
          <w:szCs w:val="20"/>
        </w:rPr>
        <w:t xml:space="preserve">spol. s r. o.</w:t>
      </w:r>
    </w:p>
    <w:p>
      <w:pPr>
        <w:spacing w:before="800"/>
        <w:jc w:val="center"/>
      </w:pPr>
      <w:r>
        <w:rPr>
          <w:b/>
          <w:bCs/>
          <w:color w:val="1F3864"/>
          <w:sz w:val="40"/>
          <w:szCs w:val="40"/>
        </w:rPr>
        <w:t xml:space="preserve">Strategický plán rozvoje a modernizace</w:t>
      </w:r>
    </w:p>
    <w:p>
      <w:pPr>
        <w:spacing w:after="800" w:before="200"/>
        <w:jc w:val="center"/>
      </w:pPr>
      <w:r>
        <w:rPr>
          <w:color w:val="0F7A78"/>
          <w:sz w:val="26"/>
          <w:szCs w:val="26"/>
        </w:rPr>
        <w:t xml:space="preserve">Mediálně-digitální ateliér, modernizace IKT infrastruktury a úprava kurikula oboru Informační služby a mediální komunikace</w:t>
      </w:r>
    </w:p>
    <w:p>
      <w:pPr>
        <w:spacing w:before="1600"/>
        <w:jc w:val="center"/>
      </w:pPr>
      <w:r>
        <w:rPr>
          <w:i/>
          <w:iCs/>
          <w:color w:val="595959"/>
          <w:sz w:val="22"/>
          <w:szCs w:val="22"/>
        </w:rPr>
        <w:t xml:space="preserve">Pracovní dokument — příprava školní rok 2026/2027, realizace léto 2027</w:t>
      </w:r>
    </w:p>
    <w:p>
      <w:pPr>
        <w:spacing w:before="3200"/>
        <w:jc w:val="center"/>
      </w:pPr>
      <w:r>
        <w:rPr>
          <w:color w:val="595959"/>
          <w:sz w:val="20"/>
          <w:szCs w:val="20"/>
        </w:rPr>
        <w:t xml:space="preserve">Řepčínská 239/101, 779 00 Olomouc</w:t>
      </w:r>
    </w:p>
    <w:p>
      <w:pPr>
        <w:jc w:val="center"/>
      </w:pPr>
      <w:r>
        <w:rPr>
          <w:color w:val="595959"/>
          <w:sz w:val="20"/>
          <w:szCs w:val="20"/>
        </w:rPr>
        <w:t xml:space="preserve">skola@skolaodborna.cz  ·  skolaodborna.cz</w:t>
      </w:r>
    </w:p>
    <w:p>
      <w:r>
        <w:br w:type="page"/>
      </w:r>
    </w:p>
    <w:p>
      <w:pPr>
        <w:sectPr>
          <w:pgSz w:w="11906" w:h="16838" w:orient="portrait"/>
          <w:pgMar w:top="1440" w:right="1440" w:bottom="1440" w:left="1440" w:header="708" w:footer="708" w:gutter="0"/>
          <w:pgNumType/>
          <w:docGrid w:linePitch="360"/>
        </w:sectPr>
      </w:pPr>
    </w:p>
    <w:p>
      <w:pPr>
        <w:pStyle w:val="Heading1"/>
        <w:spacing w:after="200" w:before="400"/>
      </w:pPr>
      <w:r>
        <w:t xml:space="preserve">Obsah</w:t>
      </w:r>
    </w:p>
    <w:p>
      <w:pPr>
        <w:spacing w:after="200"/>
      </w:pPr>
      <w:r>
        <w:rPr>
          <w:i/>
          <w:iCs/>
          <w:color w:val="595959"/>
          <w:sz w:val="18"/>
          <w:szCs w:val="18"/>
        </w:rPr>
        <w:t xml:space="preserve">(Při otevření dokumentu klikněte pravým tlačítkem na obsah a zvolte „Aktualizovat pole“, pokud se čísla stran nezobrazí ihned.)</w:t>
      </w:r>
    </w:p>
    <w:sdt>
      <w:sdtPr>
        <w:alias w:val="Obsah"/>
      </w:sdtPr>
      <w:sdtContent>
        <w:p>
          <w:r>
            <w:fldChar w:fldCharType="begin" w:dirty="true"/>
            <w:instrText xml:space="preserve">TOC \h \o "1-3"</w:instrText>
            <w:fldChar w:fldCharType="separate"/>
          </w:r>
        </w:p>
        <w:p>
          <w:r>
            <w:fldChar w:fldCharType="end"/>
          </w:r>
        </w:p>
      </w:sdtContent>
    </w:sdt>
    <w:p>
      <w:r>
        <w:br w:type="page"/>
      </w:r>
    </w:p>
    <w:p>
      <w:pPr>
        <w:sectPr>
          <w:pgSz w:w="11906" w:h="16838" w:orient="portrait"/>
          <w:pgMar w:top="1440" w:right="1440" w:bottom="1440" w:left="1440" w:header="708" w:footer="708" w:gutter="0"/>
          <w:pgNumType/>
          <w:docGrid w:linePitch="360"/>
        </w:sectPr>
      </w:pPr>
    </w:p>
    <w:p>
      <w:pPr>
        <w:pStyle w:val="Heading1"/>
        <w:spacing w:after="200" w:before="400"/>
      </w:pPr>
      <w:r>
        <w:t xml:space="preserve">1. Úvod a účel dokumentu</w:t>
      </w:r>
    </w:p>
    <w:p>
      <w:pPr>
        <w:spacing w:after="160" w:line="300"/>
      </w:pPr>
      <w:r>
        <w:rPr>
          <w:sz w:val="22"/>
          <w:szCs w:val="22"/>
        </w:rPr>
        <w:t xml:space="preserve">Tento dokument shrnuje strategický záměr modernizace Střední odborné školy Olomouc spol. s r. o. pro školní rok 2026/2027 a navazující realizaci o letních prázdninách 2027. Cílem je propojit tři roviny plánování do jednoho koherentního postupu: (1) dlouhodobou pozici školy na trhu vzdělávání v kontextu demografického vývoje, (2) konkrétní investiční projekt přeměny jedné třídy na mediálně-digitální ateliér spolu s modernizací síťové a IKT infrastruktury školy, a (3) navazující úpravu skladby vyučovaných předmětů v oboru 72-41-M/01 Informační služby a mediální komunikace.</w:t>
      </w:r>
    </w:p>
    <w:p>
      <w:pPr>
        <w:spacing w:after="160" w:line="300"/>
      </w:pPr>
      <w:r>
        <w:rPr>
          <w:sz w:val="22"/>
          <w:szCs w:val="22"/>
        </w:rPr>
        <w:t xml:space="preserve">Dokument je určen jako interní podklad pro vedení školy, pedagogickou radu a přípravu školního vzdělávacího programu (ŠVP). Navazuje na něj samostatná stručnější prezentace vize určená pro širší publikum.</w:t>
      </w:r>
    </w:p>
    <w:p>
      <w:pPr>
        <w:pStyle w:val="Heading1"/>
        <w:spacing w:after="200" w:before="400"/>
      </w:pPr>
      <w:r>
        <w:t xml:space="preserve">2. Kontext a pozice školy na trhu</w:t>
      </w:r>
    </w:p>
    <w:p>
      <w:pPr>
        <w:pStyle w:val="Heading2"/>
        <w:spacing w:after="150" w:before="300"/>
      </w:pPr>
      <w:r>
        <w:t xml:space="preserve">2.1 Demografický a systémový kontext</w:t>
      </w:r>
    </w:p>
    <w:p>
      <w:pPr>
        <w:spacing w:after="160" w:line="300"/>
      </w:pPr>
      <w:r>
        <w:rPr>
          <w:sz w:val="22"/>
          <w:szCs w:val="22"/>
        </w:rPr>
        <w:t xml:space="preserve">Olomoucký kraj patří společně s Jihomoravským a Zlínským krajem mezi kraje s nejvyšším podílem žáků v maturitních oborech, zatímco celorepublikově zájem o učňovské obory dlouhodobě klesá. Kapacity gymnázií nestačí poptávce, takže část zájemců o všeobecné maturitní vzdělání se orientuje na odborné školy s maturitou — to je přímá příležitost pro pozici SOŠ Olomouc na trhu.</w:t>
      </w:r>
    </w:p>
    <w:p>
      <w:pPr>
        <w:spacing w:after="200"/>
      </w:pPr>
      <w:r>
        <w:rPr>
          <w:i/>
          <w:iCs/>
          <w:color w:val="595959"/>
          <w:sz w:val="18"/>
          <w:szCs w:val="18"/>
        </w:rPr>
        <w:t xml:space="preserve">Zdroj: EDUin — Jaká je situace středních odborných škol podle aktuálních dat a predikcí?</w:t>
      </w:r>
    </w:p>
    <w:p>
      <w:pPr>
        <w:spacing w:after="160" w:line="300"/>
      </w:pPr>
      <w:r>
        <w:rPr>
          <w:sz w:val="22"/>
          <w:szCs w:val="22"/>
        </w:rPr>
        <w:t xml:space="preserve">Zároveň vzdělávací politika dlouhodobě směřuje ke snižování počtu malých škol s úzkou nabídkou oborů. Pro malou soukromou školu to znamená, že viditelná modernizace a jasné odlišení nejsou doplňkovou aktivitou, ale předpokladem dlouhodobé udržitelnosti.</w:t>
      </w:r>
    </w:p>
    <w:p>
      <w:pPr>
        <w:spacing w:after="200"/>
      </w:pPr>
      <w:r>
        <w:rPr>
          <w:i/>
          <w:iCs/>
          <w:color w:val="595959"/>
          <w:sz w:val="18"/>
          <w:szCs w:val="18"/>
        </w:rPr>
        <w:t xml:space="preserve">Zdroj: EDUin — Jaká je situace středních odborných škol podle aktuálních dat a predikcí?</w:t>
      </w:r>
    </w:p>
    <w:p>
      <w:pPr>
        <w:spacing w:after="160" w:line="300"/>
      </w:pPr>
      <w:r>
        <w:rPr>
          <w:sz w:val="22"/>
          <w:szCs w:val="22"/>
        </w:rPr>
        <w:t xml:space="preserve">Demografická prognóza MŠMT/NÚV pro Olomoucký kraj počítá u osmiletých gymnázií spíše s poklesem počtu nově přijatých ve srovnání s rokem 2021 — to potvrzuje, že se nemění primárně velikost populačního ročníku, ale rozložení zájmu mezi typy škol.</w:t>
      </w:r>
    </w:p>
    <w:p>
      <w:pPr>
        <w:spacing w:after="200"/>
      </w:pPr>
      <w:r>
        <w:rPr>
          <w:i/>
          <w:iCs/>
          <w:color w:val="595959"/>
          <w:sz w:val="18"/>
          <w:szCs w:val="18"/>
        </w:rPr>
        <w:t xml:space="preserve">Zdroj: Demografická prognóza: Vývoj počtu žáků jako aspekt plánování kapacit ve vzdělávání (infoabsolvent.cz / NÚV)</w:t>
      </w:r>
    </w:p>
    <w:p>
      <w:pPr>
        <w:spacing w:after="160"/>
      </w:pPr>
      <w:r>
        <w:rPr>
          <w:sz w:val="22"/>
          <w:szCs w:val="22"/>
        </w:rPr>
        <w:t xml:space="preserve">Odkaz: </w:t>
      </w:r>
      <w:hyperlink w:history="1" r:id="rIdgkdlhv6vgdrjzjbkq0sgt">
        <w:r>
          <w:rPr>
            <w:rStyle w:val="Hyperlink"/>
            <w:sz w:val="22"/>
            <w:szCs w:val="22"/>
          </w:rPr>
          <w:t xml:space="preserve">https://www.infoabsolvent.cz/Temata/Download?Soubor=F-9.0.184_Demograficka_prognoza_Vyvoj_poctu_zaku_jako_aspekt_planovani_kapacit_ve_vzdelavani.pdf</w:t>
        </w:r>
      </w:hyperlink>
    </w:p>
    <w:p>
      <w:pPr>
        <w:pStyle w:val="Heading2"/>
        <w:spacing w:after="150" w:before="300"/>
      </w:pPr>
      <w:r>
        <w:t xml:space="preserve">2.2 Škola jako soukromý subjekt</w:t>
      </w:r>
    </w:p>
    <w:p>
      <w:pPr>
        <w:spacing w:after="160" w:line="300"/>
      </w:pPr>
      <w:r>
        <w:rPr>
          <w:sz w:val="22"/>
          <w:szCs w:val="22"/>
        </w:rPr>
        <w:t xml:space="preserve">Střední odborná škola Olomouc spol. s r. o. je soukromá škola. Na rozdíl od škol zřizovaných krajem jí tedy nehrozí plošné administrativní zrušení, avšak o to více závisí na tom, aby si udržela konkurenceschopnost a naplněnost oborů na trhu vzdělávacích služeb v regionu.</w:t>
      </w:r>
    </w:p>
    <w:p>
      <w:pPr>
        <w:spacing w:after="160" w:line="300"/>
      </w:pPr>
      <w:r>
        <w:rPr>
          <w:sz w:val="22"/>
          <w:szCs w:val="22"/>
        </w:rPr>
        <w:t xml:space="preserve">Ve strategické úvaze se počítá i s dlouhodobější myšlenkou rozšířit vzdělávací nabídku o vyšší odbornou školu (VOŠ). Modernizace popsaná v tomto dokumentu — ateliér, technické zázemí, otevření prostoru veřejnosti formou kurzů a pronájmů — je s touto myšlenkou v souladu: buduje se zázemí a pozice školy jako vzdělávacího a kreativního centra, nejen jako poskytovatele denního studia.</w:t>
      </w:r>
    </w:p>
    <w:p>
      <w:pPr>
        <w:pStyle w:val="Heading2"/>
        <w:spacing w:after="150" w:before="300"/>
      </w:pPr>
      <w:r>
        <w:t xml:space="preserve">2.3 Case study: restrukturalizace oboru Informační služby a mediální komunikace</w:t>
      </w:r>
    </w:p>
    <w:p>
      <w:pPr>
        <w:spacing w:after="160" w:line="300"/>
      </w:pPr>
      <w:r>
        <w:rPr>
          <w:sz w:val="22"/>
          <w:szCs w:val="22"/>
        </w:rPr>
        <w:t xml:space="preserve">Obor 72-41-M/01 Informační služby a mediální komunikace nebyl v minulosti plně obsazený. Škola k němu přidala složku mediální činnosti (mediální komunikaci) — od té doby jsou oba obory školy (Veřejnosprávní činnost i Informační služby a mediální komunikace) dlouhodobě plně obsazené. V uplynulém roce byla navíc zavedena vstupní kvóta na studijní průměr uchazečů, což potvrzuje, že o obor je dostatečný zájem k tomu, aby si škola mohla dovolit vybírat.</w:t>
      </w:r>
    </w:p>
    <w:p>
      <w:pPr>
        <w:spacing w:after="160" w:line="300"/>
      </w:pPr>
      <w:r>
        <w:rPr>
          <w:sz w:val="22"/>
          <w:szCs w:val="22"/>
        </w:rPr>
        <w:t xml:space="preserve">Tento precedent je klíčovým argumentem pro navrhovanou modernizaci: rozšíření a prohloubení praktické, mediální/tvůrčí složky oboru je opatření, které již jednou prokazatelně zvýšilo zájem uchazečů. Ateliér a úprava kurikula popsané v kapitolách 3 a 4 jsou pokračováním téhož principu, ne novým experimentem.</w:t>
      </w:r>
    </w:p>
    <w:p>
      <w:pPr>
        <w:pStyle w:val="Heading2"/>
        <w:spacing w:after="150" w:before="300"/>
      </w:pPr>
      <w:r>
        <w:t xml:space="preserve">2.4 Kapacity a přijímací řízení</w:t>
      </w:r>
    </w:p>
    <w:p>
      <w:pPr>
        <w:spacing w:after="160" w:line="300"/>
      </w:pPr>
      <w:r>
        <w:rPr>
          <w:sz w:val="22"/>
          <w:szCs w:val="22"/>
        </w:rPr>
        <w:t xml:space="preserve">Pro školní rok 2026/2027 vypsala škola následující předpokládané počty přijímaných uchazečů:</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5300"/>
        <w:gridCol w:w="1500"/>
      </w:tblGrid>
      <w:tr>
        <w:trPr>
          <w:cantSplit/>
          <w:tblHeader/>
        </w:trPr>
        <w:tc>
          <w:tcPr>
            <w:tcW w:type="dxa" w:w="2200"/>
            <w:shd w:fill="1F3864" w:val="clear"/>
            <w:tcMar>
              <w:top w:type="dxa" w:w="80"/>
              <w:left w:type="dxa" w:w="100"/>
              <w:bottom w:type="dxa" w:w="80"/>
              <w:right w:type="dxa" w:w="100"/>
            </w:tcMar>
          </w:tcPr>
          <w:p>
            <w:r>
              <w:rPr>
                <w:b/>
                <w:bCs/>
                <w:color w:val="FFFFFF"/>
                <w:sz w:val="20"/>
                <w:szCs w:val="20"/>
              </w:rPr>
              <w:t xml:space="preserve">Kód oboru</w:t>
            </w:r>
          </w:p>
        </w:tc>
        <w:tc>
          <w:tcPr>
            <w:tcW w:type="dxa" w:w="5300"/>
            <w:shd w:fill="1F3864" w:val="clear"/>
            <w:tcMar>
              <w:top w:type="dxa" w:w="80"/>
              <w:left w:type="dxa" w:w="100"/>
              <w:bottom w:type="dxa" w:w="80"/>
              <w:right w:type="dxa" w:w="100"/>
            </w:tcMar>
          </w:tcPr>
          <w:p>
            <w:r>
              <w:rPr>
                <w:b/>
                <w:bCs/>
                <w:color w:val="FFFFFF"/>
                <w:sz w:val="20"/>
                <w:szCs w:val="20"/>
              </w:rPr>
              <w:t xml:space="preserve">Obor a forma vzdělávání</w:t>
            </w:r>
          </w:p>
        </w:tc>
        <w:tc>
          <w:tcPr>
            <w:tcW w:type="dxa" w:w="1500"/>
            <w:shd w:fill="1F3864" w:val="clear"/>
            <w:tcMar>
              <w:top w:type="dxa" w:w="80"/>
              <w:left w:type="dxa" w:w="100"/>
              <w:bottom w:type="dxa" w:w="80"/>
              <w:right w:type="dxa" w:w="100"/>
            </w:tcMar>
          </w:tcPr>
          <w:p>
            <w:r>
              <w:rPr>
                <w:b/>
                <w:bCs/>
                <w:color w:val="FFFFFF"/>
                <w:sz w:val="20"/>
                <w:szCs w:val="20"/>
              </w:rPr>
              <w:t xml:space="preserve">Míst</w:t>
            </w:r>
          </w:p>
        </w:tc>
      </w:tr>
      <w:tr>
        <w:trPr>
          <w:cantSplit/>
        </w:trPr>
        <w:tc>
          <w:tcPr>
            <w:tcW w:type="dxa" w:w="2200"/>
            <w:tcMar>
              <w:top w:type="dxa" w:w="80"/>
              <w:left w:type="dxa" w:w="100"/>
              <w:bottom w:type="dxa" w:w="80"/>
              <w:right w:type="dxa" w:w="100"/>
            </w:tcMar>
          </w:tcPr>
          <w:p>
            <w:r>
              <w:rPr>
                <w:sz w:val="20"/>
                <w:szCs w:val="20"/>
              </w:rPr>
              <w:t xml:space="preserve">68-43-M/01</w:t>
            </w:r>
          </w:p>
        </w:tc>
        <w:tc>
          <w:tcPr>
            <w:tcW w:type="dxa" w:w="5300"/>
            <w:tcMar>
              <w:top w:type="dxa" w:w="80"/>
              <w:left w:type="dxa" w:w="100"/>
              <w:bottom w:type="dxa" w:w="80"/>
              <w:right w:type="dxa" w:w="100"/>
            </w:tcMar>
          </w:tcPr>
          <w:p>
            <w:r>
              <w:rPr>
                <w:sz w:val="20"/>
                <w:szCs w:val="20"/>
              </w:rPr>
              <w:t xml:space="preserve">Veřejnosprávní činnost — denní forma</w:t>
            </w:r>
          </w:p>
        </w:tc>
        <w:tc>
          <w:tcPr>
            <w:tcW w:type="dxa" w:w="1500"/>
            <w:tcMar>
              <w:top w:type="dxa" w:w="80"/>
              <w:left w:type="dxa" w:w="100"/>
              <w:bottom w:type="dxa" w:w="80"/>
              <w:right w:type="dxa" w:w="100"/>
            </w:tcMar>
          </w:tcPr>
          <w:p>
            <w:r>
              <w:rPr>
                <w:sz w:val="20"/>
                <w:szCs w:val="20"/>
              </w:rPr>
              <w:t xml:space="preserve">46</w:t>
            </w:r>
          </w:p>
        </w:tc>
      </w:tr>
      <w:tr>
        <w:trPr>
          <w:cantSplit/>
        </w:trPr>
        <w:tc>
          <w:tcPr>
            <w:tcW w:type="dxa" w:w="2200"/>
            <w:shd w:fill="F2F2F2" w:val="clear"/>
            <w:tcMar>
              <w:top w:type="dxa" w:w="80"/>
              <w:left w:type="dxa" w:w="100"/>
              <w:bottom w:type="dxa" w:w="80"/>
              <w:right w:type="dxa" w:w="100"/>
            </w:tcMar>
          </w:tcPr>
          <w:p>
            <w:r>
              <w:rPr>
                <w:sz w:val="20"/>
                <w:szCs w:val="20"/>
              </w:rPr>
              <w:t xml:space="preserve">72-41-M/01</w:t>
            </w:r>
          </w:p>
        </w:tc>
        <w:tc>
          <w:tcPr>
            <w:tcW w:type="dxa" w:w="5300"/>
            <w:shd w:fill="F2F2F2" w:val="clear"/>
            <w:tcMar>
              <w:top w:type="dxa" w:w="80"/>
              <w:left w:type="dxa" w:w="100"/>
              <w:bottom w:type="dxa" w:w="80"/>
              <w:right w:type="dxa" w:w="100"/>
            </w:tcMar>
          </w:tcPr>
          <w:p>
            <w:r>
              <w:rPr>
                <w:sz w:val="20"/>
                <w:szCs w:val="20"/>
              </w:rPr>
              <w:t xml:space="preserve">Informační služby a mediální komunikace — denní forma</w:t>
            </w:r>
          </w:p>
        </w:tc>
        <w:tc>
          <w:tcPr>
            <w:tcW w:type="dxa" w:w="1500"/>
            <w:shd w:fill="F2F2F2" w:val="clear"/>
            <w:tcMar>
              <w:top w:type="dxa" w:w="80"/>
              <w:left w:type="dxa" w:w="100"/>
              <w:bottom w:type="dxa" w:w="80"/>
              <w:right w:type="dxa" w:w="100"/>
            </w:tcMar>
          </w:tcPr>
          <w:p>
            <w:r>
              <w:rPr>
                <w:sz w:val="20"/>
                <w:szCs w:val="20"/>
              </w:rPr>
              <w:t xml:space="preserve">23</w:t>
            </w:r>
          </w:p>
        </w:tc>
      </w:tr>
      <w:tr>
        <w:trPr>
          <w:cantSplit/>
        </w:trPr>
        <w:tc>
          <w:tcPr>
            <w:tcW w:type="dxa" w:w="2200"/>
            <w:tcMar>
              <w:top w:type="dxa" w:w="80"/>
              <w:left w:type="dxa" w:w="100"/>
              <w:bottom w:type="dxa" w:w="80"/>
              <w:right w:type="dxa" w:w="100"/>
            </w:tcMar>
          </w:tcPr>
          <w:p>
            <w:r>
              <w:rPr>
                <w:sz w:val="20"/>
                <w:szCs w:val="20"/>
              </w:rPr>
              <w:t xml:space="preserve">68-43-M/01</w:t>
            </w:r>
          </w:p>
        </w:tc>
        <w:tc>
          <w:tcPr>
            <w:tcW w:type="dxa" w:w="5300"/>
            <w:tcMar>
              <w:top w:type="dxa" w:w="80"/>
              <w:left w:type="dxa" w:w="100"/>
              <w:bottom w:type="dxa" w:w="80"/>
              <w:right w:type="dxa" w:w="100"/>
            </w:tcMar>
          </w:tcPr>
          <w:p>
            <w:r>
              <w:rPr>
                <w:sz w:val="20"/>
                <w:szCs w:val="20"/>
              </w:rPr>
              <w:t xml:space="preserve">Veřejnosprávní činnost — dálková forma</w:t>
            </w:r>
          </w:p>
        </w:tc>
        <w:tc>
          <w:tcPr>
            <w:tcW w:type="dxa" w:w="1500"/>
            <w:tcMar>
              <w:top w:type="dxa" w:w="80"/>
              <w:left w:type="dxa" w:w="100"/>
              <w:bottom w:type="dxa" w:w="80"/>
              <w:right w:type="dxa" w:w="100"/>
            </w:tcMar>
          </w:tcPr>
          <w:p>
            <w:r>
              <w:rPr>
                <w:sz w:val="20"/>
                <w:szCs w:val="20"/>
              </w:rPr>
              <w:t xml:space="preserve">30</w:t>
            </w:r>
          </w:p>
        </w:tc>
      </w:tr>
    </w:tbl>
    <w:p>
      <w:pPr>
        <w:spacing w:after="160"/>
      </w:pPr>
    </w:p>
    <w:p>
      <w:pPr>
        <w:spacing w:after="160" w:line="300"/>
      </w:pPr>
      <w:r>
        <w:rPr>
          <w:sz w:val="22"/>
          <w:szCs w:val="22"/>
        </w:rPr>
        <w:t xml:space="preserve">Kapacita oboru Veřejnosprávní činnost je zhruba dvojnásobná oproti Informačním službám a mediální komunikaci — obor stabilní kotvy má tedy i strukturně větší váhu, zatímco dynamický obor je citlivější na menší výkyvy zájmu v absolutních číslech.</w:t>
      </w:r>
    </w:p>
    <w:p>
      <w:pPr>
        <w:spacing w:after="160" w:line="300"/>
      </w:pPr>
      <w:r>
        <w:rPr>
          <w:sz w:val="22"/>
          <w:szCs w:val="22"/>
        </w:rPr>
        <w:t xml:space="preserve">Kritéria přijímacího řízení jsou pro oba obory shodná: jednotná přijímací zkouška (JPZ) tvoří 60 % hodnocení (max. 100 bodů), prospěch ze ZŠ 40 % (max. 67 bodů), hranice úspěšnosti je 40 bodů. Neexistuje tedy oborově odlišná kvóta — zpřísnění probíhá plynule přes bodovací tabulku prospěchu.</w:t>
      </w:r>
    </w:p>
    <w:p>
      <w:pPr>
        <w:spacing w:after="200"/>
      </w:pPr>
      <w:r>
        <w:rPr>
          <w:i/>
          <w:iCs/>
          <w:color w:val="595959"/>
          <w:sz w:val="18"/>
          <w:szCs w:val="18"/>
        </w:rPr>
        <w:t xml:space="preserve">Zdroj: Kritéria pro přijímací řízení, SOŠ Olomouc</w:t>
      </w:r>
    </w:p>
    <w:p>
      <w:pPr>
        <w:spacing w:after="160"/>
      </w:pPr>
      <w:r>
        <w:rPr>
          <w:sz w:val="22"/>
          <w:szCs w:val="22"/>
        </w:rPr>
        <w:t xml:space="preserve">Odkaz: </w:t>
      </w:r>
      <w:hyperlink w:history="1" r:id="rIdxtwitu15e3m02gxqn45_7">
        <w:r>
          <w:rPr>
            <w:rStyle w:val="Hyperlink"/>
            <w:sz w:val="22"/>
            <w:szCs w:val="22"/>
          </w:rPr>
          <w:t xml:space="preserve">https://skolaodborna.cz/kriteria-pro-prijimaci-rizeni/</w:t>
        </w:r>
      </w:hyperlink>
    </w:p>
    <w:p>
      <w:pPr>
        <w:spacing w:after="160"/>
      </w:pPr>
      <w:r>
        <w:rPr>
          <w:sz w:val="22"/>
          <w:szCs w:val="22"/>
        </w:rPr>
        <w:t xml:space="preserve">Doplňující odkaz: </w:t>
      </w:r>
      <w:hyperlink w:history="1" r:id="rId8sa5mtlqknrc1y4qxlyyl">
        <w:r>
          <w:rPr>
            <w:rStyle w:val="Hyperlink"/>
            <w:sz w:val="22"/>
            <w:szCs w:val="22"/>
          </w:rPr>
          <w:t xml:space="preserve">https://skolaodborna.cz/chci-studovat/prijimaci-rizeni/</w:t>
        </w:r>
      </w:hyperlink>
    </w:p>
    <w:p>
      <w:pPr>
        <w:pStyle w:val="Heading2"/>
        <w:spacing w:after="150" w:before="300"/>
      </w:pPr>
      <w:r>
        <w:t xml:space="preserve">2.5 Marketingová pozice</w:t>
      </w:r>
    </w:p>
    <w:p>
      <w:pPr>
        <w:spacing w:after="160" w:line="300"/>
      </w:pPr>
      <w:r>
        <w:rPr>
          <w:sz w:val="22"/>
          <w:szCs w:val="22"/>
        </w:rPr>
        <w:t xml:space="preserve">Škola cílí primárně na Olomoucký kraj. Pro nadcházející přijímací řízení poprvé rozšiřuje cílenou reklamu geograficky na celou Českou republiku. Dokončený a viditelně odlišný ateliér je přirozeným obsahovým pilířem pro tuto kampaň i pro dny otevřených dveří na podzim 2027.</w:t>
      </w:r>
    </w:p>
    <w:p>
      <w:pPr>
        <w:pStyle w:val="Heading1"/>
        <w:spacing w:after="200" w:before="400"/>
      </w:pPr>
      <w:r>
        <w:t xml:space="preserve">3. Projekt: Mediálně-digitální ateliér a modernizace IKT infrastruktury</w:t>
      </w:r>
    </w:p>
    <w:p>
      <w:pPr>
        <w:pStyle w:val="Heading2"/>
        <w:spacing w:after="150" w:before="300"/>
      </w:pPr>
      <w:r>
        <w:t xml:space="preserve">3.1 Cíl a zdůvodnění</w:t>
      </w:r>
    </w:p>
    <w:p>
      <w:pPr>
        <w:spacing w:after="160" w:line="300"/>
      </w:pPr>
      <w:r>
        <w:rPr>
          <w:sz w:val="22"/>
          <w:szCs w:val="22"/>
        </w:rPr>
        <w:t xml:space="preserve">Cílem je přeměnit jednu velkou třídu na plnohodnotný mediálně-digitální ateliér zaměřený na mediální komunikaci a PR, a souběžně modernizovat síťovou infrastrukturu, umístění serveru a vybavení dalších dvou IKT tříd. Ateliér bude sloužit primárně oboru Informační služby a mediální komunikace, ale bude využitelný i pro mediální hodiny oboru Veřejnosprávní činnost.</w:t>
      </w:r>
    </w:p>
    <w:p>
      <w:pPr>
        <w:spacing w:after="160" w:line="300"/>
      </w:pPr>
      <w:r>
        <w:rPr>
          <w:sz w:val="22"/>
          <w:szCs w:val="22"/>
        </w:rPr>
        <w:t xml:space="preserve">Pro správné pochopení záměru je důležité jasně vymezit, o co v ateliéru jde — a o co ne. Ateliér neslouží výuce grafiky. Jádrem je mediální a audiovizuální tvorba: reklamní, mediální, redaktorská a novinářská činnost — tedy dovednosti psát, natáčet, editovat a publikovat obsah, které jsou nezbytnou součástí moderního oboru informačních specialistů. Design je součástí této práce, ale v podobě designu služeb a UX/UI — tedy navrhování funkčních a uživatelsky srozumitelných řešení (webů, aplikací, publikací, informačních materiálů) — nikoli jako grafika v úzkém slova smyslu. Toto rozlišení je vhodné důsledně komunikovat i uvnitř školy — zjednodušená představa "učí se tam grafika" podceňuje skutečný rozsah a odbornou náročnost oboru a ztěžuje pochopení, proč je investice do ateliéru potřebná.</w:t>
      </w:r>
    </w:p>
    <w:p>
      <w:pPr>
        <w:spacing w:after="160" w:line="300"/>
      </w:pPr>
      <w:r>
        <w:rPr>
          <w:sz w:val="22"/>
          <w:szCs w:val="22"/>
        </w:rPr>
        <w:t xml:space="preserve">Garantem provozu ateliéru bude garantka oboru Informační služby a mediální komunikace. Prostor bude kromě výuky využitelný i pro další školní aktivity, pronájem zájemcům z řad veřejnosti a pořádání kurzů pro veřejnost — což otevírá i doplňkový zdroj příjmů a posiluje pozici školy jako otevřeného vzdělávacího centra (viz kap. 2.3).</w:t>
      </w:r>
    </w:p>
    <w:p>
      <w:pPr>
        <w:pStyle w:val="Heading2"/>
        <w:spacing w:after="150" w:before="300"/>
      </w:pPr>
      <w:r>
        <w:t xml:space="preserve">3.2 Technické řešení prostoru</w:t>
      </w:r>
    </w:p>
    <w:p>
      <w:pPr>
        <w:spacing w:after="160" w:line="300"/>
      </w:pPr>
      <w:r>
        <w:rPr>
          <w:sz w:val="22"/>
          <w:szCs w:val="22"/>
        </w:rPr>
        <w:t xml:space="preserve">Všechny modernizované učebny — ateliér i obě IKT třídy — budou vybaveny moderní digitální tabulí (interaktivním displejem), aby se sjednotila úroveň prezentační techniky napříč nově vybavenými prostory.</w:t>
      </w:r>
    </w:p>
    <w:p>
      <w:pPr>
        <w:pStyle w:val="Heading3"/>
        <w:spacing w:after="100" w:before="200"/>
      </w:pPr>
      <w:r>
        <w:t xml:space="preserve">Ateliér (mediální/kreativní zóna)</w:t>
      </w:r>
    </w:p>
    <w:p>
      <w:pPr>
        <w:spacing w:after="160" w:line="300"/>
      </w:pPr>
      <w:r>
        <w:rPr>
          <w:sz w:val="22"/>
          <w:szCs w:val="22"/>
        </w:rPr>
        <w:t xml:space="preserve">Mobilní mobiliář není v ateliéru estetickým doplňkem, ale provozní nutností. Povaha mediální a redaktorské práce vyžaduje, aby se místnost během jedné vyučovací hodiny dokázala rychle přeskládat mezi několika odlišnými režimy: samostatnou prací u počítače (psaní, střih, editace), týmovou redakční poradou (kruh, diskuze nad materiálem) a natáčením či focením ve foto/video koutku, kde naopak žádný nábytek v záběru být nesmí. Pevně ukotvené lavice by tuto proměnlivost neumožnily a fakticky by vracely výuku zpět k modelu klasické počítačové učebny — přesně tomu, čím ateliér záměrně není. Mobilita stolů je tedy podmínkou, aby prostor odpovídal reálné praxi redakce nebo produkčního studia, ne jen jejím vybavením.</w:t>
      </w:r>
    </w:p>
    <w:p>
      <w:pPr>
        <w:pStyle w:val="ListParagraph"/>
        <w:numPr>
          <w:ilvl w:val="0"/>
          <w:numId w:val="1"/>
        </w:numPr>
        <w:spacing w:after="100" w:line="280"/>
      </w:pPr>
      <w:r>
        <w:rPr>
          <w:sz w:val="22"/>
          <w:szCs w:val="22"/>
        </w:rPr>
        <w:t xml:space="preserve">Mobilní stoly s vlastním elektrickým okruhem pro každý stůl, napájení vedené zapuštěnými lištami v podlaze — umožňuje přeskládání bez nutnosti řešit prodlužovací kabely při každé změně sestavy.</w:t>
      </w:r>
    </w:p>
    <w:p>
      <w:pPr>
        <w:pStyle w:val="ListParagraph"/>
        <w:numPr>
          <w:ilvl w:val="0"/>
          <w:numId w:val="1"/>
        </w:numPr>
        <w:spacing w:after="100" w:line="280"/>
      </w:pPr>
      <w:r>
        <w:rPr>
          <w:sz w:val="22"/>
          <w:szCs w:val="22"/>
        </w:rPr>
        <w:t xml:space="preserve">Monitory s možností ručního zajetí do desky stolu (bez nutnosti automatizovaného/motorizovaného mechanismu) — technicky postačující řešení, které umožňuje rychle uvolnit prostor pro natáčení nebo diskuzi.</w:t>
      </w:r>
    </w:p>
    <w:p>
      <w:pPr>
        <w:pStyle w:val="ListParagraph"/>
        <w:numPr>
          <w:ilvl w:val="0"/>
          <w:numId w:val="1"/>
        </w:numPr>
        <w:spacing w:after="100" w:line="280"/>
      </w:pPr>
      <w:r>
        <w:rPr>
          <w:sz w:val="22"/>
          <w:szCs w:val="22"/>
        </w:rPr>
        <w:t xml:space="preserve">Foto/video koutek vybavený profesionálním chroma-key pozadím (zelené) a doplňkovým šedým/bílým pozadím na roletovém systému, sadou studiových světel na lištovém závěsu a stativem s DSLR technikou pro fotografickou i video produkci.</w:t>
      </w:r>
    </w:p>
    <w:p>
      <w:pPr>
        <w:pStyle w:val="ListParagraph"/>
        <w:numPr>
          <w:ilvl w:val="0"/>
          <w:numId w:val="1"/>
        </w:numPr>
        <w:spacing w:after="100" w:line="280"/>
      </w:pPr>
      <w:r>
        <w:rPr>
          <w:sz w:val="22"/>
          <w:szCs w:val="22"/>
        </w:rPr>
        <w:t xml:space="preserve">Doporučeno doplnit: akustické řešení v okolí foto/video koutku (odrazivost tvrdé podlahy a holých stěn vadí při nahrávání zvuku), audio technika (mikrofony, zvuková karta), dostatek zásuvek pro světelnou a natáčecí techniku, možnost zatemnění oken.</w:t>
      </w:r>
    </w:p>
    <w:p>
      <w:pPr>
        <w:pStyle w:val="Heading3"/>
        <w:spacing w:after="100" w:before="200"/>
      </w:pPr>
      <w:r>
        <w:t xml:space="preserve">IKT třídy (2×)</w:t>
      </w:r>
    </w:p>
    <w:p>
      <w:pPr>
        <w:pStyle w:val="ListParagraph"/>
        <w:numPr>
          <w:ilvl w:val="0"/>
          <w:numId w:val="1"/>
        </w:numPr>
        <w:spacing w:after="100" w:line="280"/>
      </w:pPr>
      <w:r>
        <w:rPr>
          <w:sz w:val="22"/>
          <w:szCs w:val="22"/>
        </w:rPr>
        <w:t xml:space="preserve">Stabilní, neposuvné stoly (na rozdíl od ateliéru zde mobilita není potřeba).</w:t>
      </w:r>
    </w:p>
    <w:p>
      <w:pPr>
        <w:pStyle w:val="ListParagraph"/>
        <w:numPr>
          <w:ilvl w:val="0"/>
          <w:numId w:val="1"/>
        </w:numPr>
        <w:spacing w:after="100" w:line="280"/>
      </w:pPr>
      <w:r>
        <w:rPr>
          <w:sz w:val="22"/>
          <w:szCs w:val="22"/>
        </w:rPr>
        <w:t xml:space="preserve">Monitory s ručním zajetím do desky stolu i zde — umožní víceúčelové využití místnosti (přednáška, porada, zkouška bez počítačů na očích).</w:t>
      </w:r>
    </w:p>
    <w:p>
      <w:pPr>
        <w:pStyle w:val="Heading3"/>
        <w:spacing w:after="100" w:before="200"/>
      </w:pPr>
      <w:r>
        <w:t xml:space="preserve">Síť a server</w:t>
      </w:r>
    </w:p>
    <w:p>
      <w:pPr>
        <w:pStyle w:val="ListParagraph"/>
        <w:numPr>
          <w:ilvl w:val="0"/>
          <w:numId w:val="1"/>
        </w:numPr>
        <w:spacing w:after="100" w:line="280"/>
      </w:pPr>
      <w:r>
        <w:rPr>
          <w:sz w:val="22"/>
          <w:szCs w:val="22"/>
        </w:rPr>
        <w:t xml:space="preserve">Bezpečnější fyzické umístění serveru.</w:t>
      </w:r>
    </w:p>
    <w:p>
      <w:pPr>
        <w:pStyle w:val="ListParagraph"/>
        <w:numPr>
          <w:ilvl w:val="0"/>
          <w:numId w:val="1"/>
        </w:numPr>
        <w:spacing w:after="100" w:line="280"/>
      </w:pPr>
      <w:r>
        <w:rPr>
          <w:sz w:val="22"/>
          <w:szCs w:val="22"/>
        </w:rPr>
        <w:t xml:space="preserve">Zavedení optické sítě pro zlepšení celkového chodu školy — relevantní i pro provoz ateliéru (přenos velkých video souborů, cloudové zálohování).</w:t>
      </w:r>
    </w:p>
    <w:p>
      <w:pPr>
        <w:pStyle w:val="Heading2"/>
        <w:spacing w:after="150" w:before="300"/>
      </w:pPr>
      <w:r>
        <w:t xml:space="preserve">3.3 Dodavatelská strategie a rozpočet</w:t>
      </w:r>
    </w:p>
    <w:p>
      <w:pPr>
        <w:spacing w:after="160" w:line="300"/>
      </w:pPr>
      <w:r>
        <w:rPr>
          <w:sz w:val="22"/>
          <w:szCs w:val="22"/>
        </w:rPr>
        <w:t xml:space="preserve">Odhadovaný rozpočet na nábytek (stoly) činí cca 1 000 000 Kč při celkové potřebě cca 85 stolů napříč ateliérem a oběma IKT třídami. Cílem je tuto částku pokud možno snížit. Rozpočet bude v průběhu školního roku 2026/2027 postupně upřesňován a je doporučeno jej rozdělit na tři samostatné poptávky, protože jde o odlišné typy dodavatelů:</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4600"/>
        <w:gridCol w:w="2600"/>
      </w:tblGrid>
      <w:tr>
        <w:trPr>
          <w:cantSplit/>
          <w:tblHeader/>
        </w:trPr>
        <w:tc>
          <w:tcPr>
            <w:tcW w:type="dxa" w:w="1800"/>
            <w:shd w:fill="1F3864" w:val="clear"/>
            <w:tcMar>
              <w:top w:type="dxa" w:w="80"/>
              <w:left w:type="dxa" w:w="100"/>
              <w:bottom w:type="dxa" w:w="80"/>
              <w:right w:type="dxa" w:w="100"/>
            </w:tcMar>
          </w:tcPr>
          <w:p>
            <w:r>
              <w:rPr>
                <w:b/>
                <w:bCs/>
                <w:color w:val="FFFFFF"/>
                <w:sz w:val="20"/>
                <w:szCs w:val="20"/>
              </w:rPr>
              <w:t xml:space="preserve">Balík</w:t>
            </w:r>
          </w:p>
        </w:tc>
        <w:tc>
          <w:tcPr>
            <w:tcW w:type="dxa" w:w="4600"/>
            <w:shd w:fill="1F3864" w:val="clear"/>
            <w:tcMar>
              <w:top w:type="dxa" w:w="80"/>
              <w:left w:type="dxa" w:w="100"/>
              <w:bottom w:type="dxa" w:w="80"/>
              <w:right w:type="dxa" w:w="100"/>
            </w:tcMar>
          </w:tcPr>
          <w:p>
            <w:r>
              <w:rPr>
                <w:b/>
                <w:bCs/>
                <w:color w:val="FFFFFF"/>
                <w:sz w:val="20"/>
                <w:szCs w:val="20"/>
              </w:rPr>
              <w:t xml:space="preserve">Popis</w:t>
            </w:r>
          </w:p>
        </w:tc>
        <w:tc>
          <w:tcPr>
            <w:tcW w:type="dxa" w:w="2600"/>
            <w:shd w:fill="1F3864" w:val="clear"/>
            <w:tcMar>
              <w:top w:type="dxa" w:w="80"/>
              <w:left w:type="dxa" w:w="100"/>
              <w:bottom w:type="dxa" w:w="80"/>
              <w:right w:type="dxa" w:w="100"/>
            </w:tcMar>
          </w:tcPr>
          <w:p>
            <w:r>
              <w:rPr>
                <w:b/>
                <w:bCs/>
                <w:color w:val="FFFFFF"/>
                <w:sz w:val="20"/>
                <w:szCs w:val="20"/>
              </w:rPr>
              <w:t xml:space="preserve">Typ dodavatele</w:t>
            </w:r>
          </w:p>
        </w:tc>
      </w:tr>
      <w:tr>
        <w:trPr>
          <w:cantSplit/>
        </w:trPr>
        <w:tc>
          <w:tcPr>
            <w:tcW w:type="dxa" w:w="1800"/>
            <w:tcMar>
              <w:top w:type="dxa" w:w="80"/>
              <w:left w:type="dxa" w:w="100"/>
              <w:bottom w:type="dxa" w:w="80"/>
              <w:right w:type="dxa" w:w="100"/>
            </w:tcMar>
          </w:tcPr>
          <w:p>
            <w:r>
              <w:rPr>
                <w:sz w:val="20"/>
                <w:szCs w:val="20"/>
              </w:rPr>
              <w:t xml:space="preserve">IKT třídy</w:t>
            </w:r>
          </w:p>
        </w:tc>
        <w:tc>
          <w:tcPr>
            <w:tcW w:type="dxa" w:w="4600"/>
            <w:tcMar>
              <w:top w:type="dxa" w:w="80"/>
              <w:left w:type="dxa" w:w="100"/>
              <w:bottom w:type="dxa" w:w="80"/>
              <w:right w:type="dxa" w:w="100"/>
            </w:tcMar>
          </w:tcPr>
          <w:p>
            <w:r>
              <w:rPr>
                <w:sz w:val="20"/>
                <w:szCs w:val="20"/>
              </w:rPr>
              <w:t xml:space="preserve">Stabilní stoly, ruční zajíždění monitorů</w:t>
            </w:r>
          </w:p>
        </w:tc>
        <w:tc>
          <w:tcPr>
            <w:tcW w:type="dxa" w:w="2600"/>
            <w:tcMar>
              <w:top w:type="dxa" w:w="80"/>
              <w:left w:type="dxa" w:w="100"/>
              <w:bottom w:type="dxa" w:w="80"/>
              <w:right w:type="dxa" w:w="100"/>
            </w:tcMar>
          </w:tcPr>
          <w:p>
            <w:r>
              <w:rPr>
                <w:sz w:val="20"/>
                <w:szCs w:val="20"/>
              </w:rPr>
              <w:t xml:space="preserve">Standardní výrobce školního nábytku</w:t>
            </w:r>
          </w:p>
        </w:tc>
      </w:tr>
      <w:tr>
        <w:trPr>
          <w:cantSplit/>
        </w:trPr>
        <w:tc>
          <w:tcPr>
            <w:tcW w:type="dxa" w:w="1800"/>
            <w:shd w:fill="F2F2F2" w:val="clear"/>
            <w:tcMar>
              <w:top w:type="dxa" w:w="80"/>
              <w:left w:type="dxa" w:w="100"/>
              <w:bottom w:type="dxa" w:w="80"/>
              <w:right w:type="dxa" w:w="100"/>
            </w:tcMar>
          </w:tcPr>
          <w:p>
            <w:r>
              <w:rPr>
                <w:sz w:val="20"/>
                <w:szCs w:val="20"/>
              </w:rPr>
              <w:t xml:space="preserve">Ateliér</w:t>
            </w:r>
          </w:p>
        </w:tc>
        <w:tc>
          <w:tcPr>
            <w:tcW w:type="dxa" w:w="4600"/>
            <w:shd w:fill="F2F2F2" w:val="clear"/>
            <w:tcMar>
              <w:top w:type="dxa" w:w="80"/>
              <w:left w:type="dxa" w:w="100"/>
              <w:bottom w:type="dxa" w:w="80"/>
              <w:right w:type="dxa" w:w="100"/>
            </w:tcMar>
          </w:tcPr>
          <w:p>
            <w:r>
              <w:rPr>
                <w:sz w:val="20"/>
                <w:szCs w:val="20"/>
              </w:rPr>
              <w:t xml:space="preserve">Mobilní stoly na míru, zapuštěné lišty, samostatné okruhy</w:t>
            </w:r>
          </w:p>
        </w:tc>
        <w:tc>
          <w:tcPr>
            <w:tcW w:type="dxa" w:w="2600"/>
            <w:shd w:fill="F2F2F2" w:val="clear"/>
            <w:tcMar>
              <w:top w:type="dxa" w:w="80"/>
              <w:left w:type="dxa" w:w="100"/>
              <w:bottom w:type="dxa" w:w="80"/>
              <w:right w:type="dxa" w:w="100"/>
            </w:tcMar>
          </w:tcPr>
          <w:p>
            <w:r>
              <w:rPr>
                <w:sz w:val="20"/>
                <w:szCs w:val="20"/>
              </w:rPr>
              <w:t xml:space="preserve">Malá stolárna (zakázková výroba)</w:t>
            </w:r>
          </w:p>
        </w:tc>
      </w:tr>
      <w:tr>
        <w:trPr>
          <w:cantSplit/>
        </w:trPr>
        <w:tc>
          <w:tcPr>
            <w:tcW w:type="dxa" w:w="1800"/>
            <w:tcMar>
              <w:top w:type="dxa" w:w="80"/>
              <w:left w:type="dxa" w:w="100"/>
              <w:bottom w:type="dxa" w:w="80"/>
              <w:right w:type="dxa" w:w="100"/>
            </w:tcMar>
          </w:tcPr>
          <w:p>
            <w:r>
              <w:rPr>
                <w:sz w:val="20"/>
                <w:szCs w:val="20"/>
              </w:rPr>
              <w:t xml:space="preserve">Síť a server</w:t>
            </w:r>
          </w:p>
        </w:tc>
        <w:tc>
          <w:tcPr>
            <w:tcW w:type="dxa" w:w="4600"/>
            <w:tcMar>
              <w:top w:type="dxa" w:w="80"/>
              <w:left w:type="dxa" w:w="100"/>
              <w:bottom w:type="dxa" w:w="80"/>
              <w:right w:type="dxa" w:w="100"/>
            </w:tcMar>
          </w:tcPr>
          <w:p>
            <w:r>
              <w:rPr>
                <w:sz w:val="20"/>
                <w:szCs w:val="20"/>
              </w:rPr>
              <w:t xml:space="preserve">Optická síť, přemístění serveru</w:t>
            </w:r>
          </w:p>
        </w:tc>
        <w:tc>
          <w:tcPr>
            <w:tcW w:type="dxa" w:w="2600"/>
            <w:tcMar>
              <w:top w:type="dxa" w:w="80"/>
              <w:left w:type="dxa" w:w="100"/>
              <w:bottom w:type="dxa" w:w="80"/>
              <w:right w:type="dxa" w:w="100"/>
            </w:tcMar>
          </w:tcPr>
          <w:p>
            <w:r>
              <w:rPr>
                <w:sz w:val="20"/>
                <w:szCs w:val="20"/>
              </w:rPr>
              <w:t xml:space="preserve">IT firma / síťový technik</w:t>
            </w:r>
          </w:p>
        </w:tc>
      </w:tr>
    </w:tbl>
    <w:p>
      <w:pPr>
        <w:spacing w:after="160"/>
      </w:pPr>
    </w:p>
    <w:p>
      <w:pPr>
        <w:spacing w:after="160" w:line="300"/>
      </w:pPr>
      <w:r>
        <w:rPr>
          <w:sz w:val="22"/>
          <w:szCs w:val="22"/>
        </w:rPr>
        <w:t xml:space="preserve">Orientační tržní ceny standardních školních PC stolů s kabelovou průchodkou se pohybují okolo 5 000–7 000 Kč za kus — tato hladina je pro rozpočet 85 stolů realistická u standardní verze. Zakázková výroba stolů s ruční mechanikou pro zajíždění monitorů a se zapuštěnou elektroinstalací (ateliér) je specializovaná položka, u které je nutné vyžádat konkrétní nabídku od oslovené stolárny — do standardního ceníku nespadá.</w:t>
      </w:r>
    </w:p>
    <w:p>
      <w:pPr>
        <w:spacing w:after="200"/>
      </w:pPr>
      <w:r>
        <w:rPr>
          <w:i/>
          <w:iCs/>
          <w:color w:val="595959"/>
          <w:sz w:val="18"/>
          <w:szCs w:val="18"/>
        </w:rPr>
        <w:t xml:space="preserve">Zdroj: orientační přehled cen školních PC stolů, dostupné weby dodavatelů školního nábytku (skolnilavice.cz, skolato.cz, mimicra.cz, tabule-nabytek.cz, insgraf.cz, nabytek-skolni.cz), stav červenec 2026</w:t>
      </w:r>
    </w:p>
    <w:p>
      <w:pPr>
        <w:spacing w:after="160" w:line="300"/>
      </w:pPr>
      <w:r>
        <w:rPr>
          <w:sz w:val="22"/>
          <w:szCs w:val="22"/>
        </w:rPr>
        <w:t xml:space="preserve">Pro ateliér je záměrem oslovit malou lokální stolárnu jako zakázkového dodavatele — z hlediska rozpočtu i z hlediska souladu s hodnotami oboru (škola vyučující PR a mediální komunikaci si nechává vyrábět vybavení u lokálního řemeslníka). Doporučuje se: (1) objednat a vyrobit jeden vzorový kus co nejdříve pro ověření mechanismu dřív, než se objedná celá série, (2) zahájit výrobu série v průběhu školního roku, ne až po dokončení stavebních prací, aby stoly byly hotové k instalaci v srpnu 2027, (3) předem sladit se stolárnou rozměr kabelové průchodky v desce s trasou podlahových rozvodů, které bude realizovat elektrikář jako samostatná zakázka.</w:t>
      </w:r>
    </w:p>
    <w:p>
      <w:pPr>
        <w:pStyle w:val="Heading2"/>
        <w:spacing w:after="150" w:before="300"/>
      </w:pPr>
      <w:r>
        <w:t xml:space="preserve">3.4 Harmonogram realizace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cantSplit/>
          <w:tblHeader/>
        </w:trPr>
        <w:tc>
          <w:tcPr>
            <w:tcW w:type="dxa" w:w="2600"/>
            <w:shd w:fill="1F3864" w:val="clear"/>
            <w:tcMar>
              <w:top w:type="dxa" w:w="80"/>
              <w:left w:type="dxa" w:w="100"/>
              <w:bottom w:type="dxa" w:w="80"/>
              <w:right w:type="dxa" w:w="100"/>
            </w:tcMar>
          </w:tcPr>
          <w:p>
            <w:r>
              <w:rPr>
                <w:b/>
                <w:bCs/>
                <w:color w:val="FFFFFF"/>
                <w:sz w:val="20"/>
                <w:szCs w:val="20"/>
              </w:rPr>
              <w:t xml:space="preserve">Období</w:t>
            </w:r>
          </w:p>
        </w:tc>
        <w:tc>
          <w:tcPr>
            <w:tcW w:type="dxa" w:w="6400"/>
            <w:shd w:fill="1F3864" w:val="clear"/>
            <w:tcMar>
              <w:top w:type="dxa" w:w="80"/>
              <w:left w:type="dxa" w:w="100"/>
              <w:bottom w:type="dxa" w:w="80"/>
              <w:right w:type="dxa" w:w="100"/>
            </w:tcMar>
          </w:tcPr>
          <w:p>
            <w:r>
              <w:rPr>
                <w:b/>
                <w:bCs/>
                <w:color w:val="FFFFFF"/>
                <w:sz w:val="20"/>
                <w:szCs w:val="20"/>
              </w:rPr>
              <w:t xml:space="preserve">Fáze</w:t>
            </w:r>
          </w:p>
        </w:tc>
      </w:tr>
      <w:tr>
        <w:trPr>
          <w:cantSplit/>
        </w:trPr>
        <w:tc>
          <w:tcPr>
            <w:tcW w:type="dxa" w:w="2600"/>
            <w:tcMar>
              <w:top w:type="dxa" w:w="80"/>
              <w:left w:type="dxa" w:w="100"/>
              <w:bottom w:type="dxa" w:w="80"/>
              <w:right w:type="dxa" w:w="100"/>
            </w:tcMar>
          </w:tcPr>
          <w:p>
            <w:r>
              <w:rPr>
                <w:sz w:val="20"/>
                <w:szCs w:val="20"/>
              </w:rPr>
              <w:t xml:space="preserve">Školní rok 2026/2027</w:t>
            </w:r>
          </w:p>
        </w:tc>
        <w:tc>
          <w:tcPr>
            <w:tcW w:type="dxa" w:w="6400"/>
            <w:tcMar>
              <w:top w:type="dxa" w:w="80"/>
              <w:left w:type="dxa" w:w="100"/>
              <w:bottom w:type="dxa" w:w="80"/>
              <w:right w:type="dxa" w:w="100"/>
            </w:tcMar>
          </w:tcPr>
          <w:p>
            <w:r>
              <w:rPr>
                <w:sz w:val="20"/>
                <w:szCs w:val="20"/>
              </w:rPr>
              <w:t xml:space="preserve">Příprava: rozpočet, poptávky u dodavatelů, výroba vzorového stolu a zahájení výroby série u stolárny, příprava ŠVP dokumentace, komunikace záměru navenek</w:t>
            </w:r>
          </w:p>
        </w:tc>
      </w:tr>
      <w:tr>
        <w:trPr>
          <w:cantSplit/>
        </w:trPr>
        <w:tc>
          <w:tcPr>
            <w:tcW w:type="dxa" w:w="2600"/>
            <w:shd w:fill="F2F2F2" w:val="clear"/>
            <w:tcMar>
              <w:top w:type="dxa" w:w="80"/>
              <w:left w:type="dxa" w:w="100"/>
              <w:bottom w:type="dxa" w:w="80"/>
              <w:right w:type="dxa" w:w="100"/>
            </w:tcMar>
          </w:tcPr>
          <w:p>
            <w:r>
              <w:rPr>
                <w:sz w:val="20"/>
                <w:szCs w:val="20"/>
              </w:rPr>
              <w:t xml:space="preserve">Červenec 2027</w:t>
            </w:r>
          </w:p>
        </w:tc>
        <w:tc>
          <w:tcPr>
            <w:tcW w:type="dxa" w:w="6400"/>
            <w:shd w:fill="F2F2F2" w:val="clear"/>
            <w:tcMar>
              <w:top w:type="dxa" w:w="80"/>
              <w:left w:type="dxa" w:w="100"/>
              <w:bottom w:type="dxa" w:w="80"/>
              <w:right w:type="dxa" w:w="100"/>
            </w:tcMar>
          </w:tcPr>
          <w:p>
            <w:r>
              <w:rPr>
                <w:sz w:val="20"/>
                <w:szCs w:val="20"/>
              </w:rPr>
              <w:t xml:space="preserve">Stavební a elektroinstalační práce (podlahové rozvody, zapuštěné lišty, síťová infrastruktura, přemístění serveru)</w:t>
            </w:r>
          </w:p>
        </w:tc>
      </w:tr>
      <w:tr>
        <w:trPr>
          <w:cantSplit/>
        </w:trPr>
        <w:tc>
          <w:tcPr>
            <w:tcW w:type="dxa" w:w="2600"/>
            <w:tcMar>
              <w:top w:type="dxa" w:w="80"/>
              <w:left w:type="dxa" w:w="100"/>
              <w:bottom w:type="dxa" w:w="80"/>
              <w:right w:type="dxa" w:w="100"/>
            </w:tcMar>
          </w:tcPr>
          <w:p>
            <w:r>
              <w:rPr>
                <w:sz w:val="20"/>
                <w:szCs w:val="20"/>
              </w:rPr>
              <w:t xml:space="preserve">Srpen 2027 (3 týdny)</w:t>
            </w:r>
          </w:p>
        </w:tc>
        <w:tc>
          <w:tcPr>
            <w:tcW w:type="dxa" w:w="6400"/>
            <w:tcMar>
              <w:top w:type="dxa" w:w="80"/>
              <w:left w:type="dxa" w:w="100"/>
              <w:bottom w:type="dxa" w:w="80"/>
              <w:right w:type="dxa" w:w="100"/>
            </w:tcMar>
          </w:tcPr>
          <w:p>
            <w:r>
              <w:rPr>
                <w:sz w:val="20"/>
                <w:szCs w:val="20"/>
              </w:rPr>
              <w:t xml:space="preserve">Instalace nábytku a techniky, uvedení ateliéru a IKT tříd do provozu</w:t>
            </w:r>
          </w:p>
        </w:tc>
      </w:tr>
      <w:tr>
        <w:trPr>
          <w:cantSplit/>
        </w:trPr>
        <w:tc>
          <w:tcPr>
            <w:tcW w:type="dxa" w:w="2600"/>
            <w:shd w:fill="F2F2F2" w:val="clear"/>
            <w:tcMar>
              <w:top w:type="dxa" w:w="80"/>
              <w:left w:type="dxa" w:w="100"/>
              <w:bottom w:type="dxa" w:w="80"/>
              <w:right w:type="dxa" w:w="100"/>
            </w:tcMar>
          </w:tcPr>
          <w:p>
            <w:r>
              <w:rPr>
                <w:sz w:val="20"/>
                <w:szCs w:val="20"/>
              </w:rPr>
              <w:t xml:space="preserve">Září 2027</w:t>
            </w:r>
          </w:p>
        </w:tc>
        <w:tc>
          <w:tcPr>
            <w:tcW w:type="dxa" w:w="6400"/>
            <w:shd w:fill="F2F2F2" w:val="clear"/>
            <w:tcMar>
              <w:top w:type="dxa" w:w="80"/>
              <w:left w:type="dxa" w:w="100"/>
              <w:bottom w:type="dxa" w:w="80"/>
              <w:right w:type="dxa" w:w="100"/>
            </w:tcMar>
          </w:tcPr>
          <w:p>
            <w:r>
              <w:rPr>
                <w:sz w:val="20"/>
                <w:szCs w:val="20"/>
              </w:rPr>
              <w:t xml:space="preserve">Náběh výuky v novém prostoru, zapojení do náborové komunikace a dnů otevřených dveří</w:t>
            </w:r>
          </w:p>
        </w:tc>
      </w:tr>
      <w:tr>
        <w:trPr>
          <w:cantSplit/>
        </w:trPr>
        <w:tc>
          <w:tcPr>
            <w:tcW w:type="dxa" w:w="2600"/>
            <w:tcMar>
              <w:top w:type="dxa" w:w="80"/>
              <w:left w:type="dxa" w:w="100"/>
              <w:bottom w:type="dxa" w:w="80"/>
              <w:right w:type="dxa" w:w="100"/>
            </w:tcMar>
          </w:tcPr>
          <w:p>
            <w:r>
              <w:rPr>
                <w:sz w:val="20"/>
                <w:szCs w:val="20"/>
              </w:rPr>
              <w:t xml:space="preserve">2027/2028</w:t>
            </w:r>
          </w:p>
        </w:tc>
        <w:tc>
          <w:tcPr>
            <w:tcW w:type="dxa" w:w="6400"/>
            <w:tcMar>
              <w:top w:type="dxa" w:w="80"/>
              <w:left w:type="dxa" w:w="100"/>
              <w:bottom w:type="dxa" w:w="80"/>
              <w:right w:type="dxa" w:w="100"/>
            </w:tcMar>
          </w:tcPr>
          <w:p>
            <w:r>
              <w:rPr>
                <w:sz w:val="20"/>
                <w:szCs w:val="20"/>
              </w:rPr>
              <w:t xml:space="preserve">Provizorní základní provoz nahrávací místnosti (fáze 2) souběžně s náběhem hlavního ateliéru</w:t>
            </w:r>
          </w:p>
        </w:tc>
      </w:tr>
      <w:tr>
        <w:trPr>
          <w:cantSplit/>
        </w:trPr>
        <w:tc>
          <w:tcPr>
            <w:tcW w:type="dxa" w:w="2600"/>
            <w:shd w:fill="F2F2F2" w:val="clear"/>
            <w:tcMar>
              <w:top w:type="dxa" w:w="80"/>
              <w:left w:type="dxa" w:w="100"/>
              <w:bottom w:type="dxa" w:w="80"/>
              <w:right w:type="dxa" w:w="100"/>
            </w:tcMar>
          </w:tcPr>
          <w:p>
            <w:r>
              <w:rPr>
                <w:sz w:val="20"/>
                <w:szCs w:val="20"/>
              </w:rPr>
              <w:t xml:space="preserve">Léto 2028</w:t>
            </w:r>
          </w:p>
        </w:tc>
        <w:tc>
          <w:tcPr>
            <w:tcW w:type="dxa" w:w="6400"/>
            <w:shd w:fill="F2F2F2" w:val="clear"/>
            <w:tcMar>
              <w:top w:type="dxa" w:w="80"/>
              <w:left w:type="dxa" w:w="100"/>
              <w:bottom w:type="dxa" w:w="80"/>
              <w:right w:type="dxa" w:w="100"/>
            </w:tcMar>
          </w:tcPr>
          <w:p>
            <w:r>
              <w:rPr>
                <w:sz w:val="20"/>
                <w:szCs w:val="20"/>
              </w:rPr>
              <w:t xml:space="preserve">Fáze 2: plná modernizace současného malého ateliéru na odzvučenou nahrávací místnost</w:t>
            </w:r>
          </w:p>
        </w:tc>
      </w:tr>
    </w:tbl>
    <w:p>
      <w:pPr>
        <w:spacing w:after="160"/>
      </w:pPr>
    </w:p>
    <w:p>
      <w:pPr>
        <w:pStyle w:val="Heading2"/>
        <w:spacing w:after="150" w:before="300"/>
      </w:pPr>
      <w:r>
        <w:t xml:space="preserve">3.5 Dokumentární projekt studentů</w:t>
      </w:r>
    </w:p>
    <w:p>
      <w:pPr>
        <w:spacing w:after="160" w:line="300"/>
      </w:pPr>
      <w:r>
        <w:rPr>
          <w:sz w:val="22"/>
          <w:szCs w:val="22"/>
        </w:rPr>
        <w:t xml:space="preserve">Součástí přípravné fáze je záměr, aby studenti oboru zdokumentovali vznik ateliéru jako svůj první reálný PR/mediální projekt — od přípravných prací až po slavnostní otevření. Tím se ateliér stává obsahem výuky ještě dříve, než se do něj studenti fyzicky nastěhují, a zároveň vzniká autentický materiál pro komunikaci směrem k uchazečům.</w:t>
      </w:r>
    </w:p>
    <w:p>
      <w:pPr>
        <w:pStyle w:val="Heading2"/>
        <w:spacing w:after="150" w:before="300"/>
      </w:pPr>
      <w:r>
        <w:t xml:space="preserve">3.6 Fáze 2: nahrávací odzvučená místnost (léto 2028)</w:t>
      </w:r>
    </w:p>
    <w:p>
      <w:pPr>
        <w:spacing w:after="160" w:line="300"/>
      </w:pPr>
      <w:r>
        <w:rPr>
          <w:sz w:val="22"/>
          <w:szCs w:val="22"/>
        </w:rPr>
        <w:t xml:space="preserve">Navazující investiční fází je přeměna současného malého ateliéru na plnohodnotnou nahrávací odzvučenou místnost. Plná modernizace tohoto prostoru je plánována na léto 2028 — o rok později než hlavní ateliér popsaný výše, jako logické pokračování investice do mediální výuky.</w:t>
      </w:r>
    </w:p>
    <w:p>
      <w:pPr>
        <w:spacing w:after="160" w:line="300"/>
      </w:pPr>
      <w:r>
        <w:rPr>
          <w:sz w:val="22"/>
          <w:szCs w:val="22"/>
        </w:rPr>
        <w:t xml:space="preserve">Aby prostor nezůstal bez využití celý mezidobí, měl by již pro školní rok 2027/2028 plnit svou základní funkci (tedy fungovat jako provizorní nahrávací zázemí, byť bez finální odhlučněné úpravy) — souběžně s tím, jak se do plného provozu rozjíždí nový velký ateliér. Tato fáze je tedy třeba zohlednit už v přípravném harmonogramu školního roku 2026/2027, konkrétně při plánování rozpočtu na další roky.</w:t>
      </w:r>
    </w:p>
    <w:p>
      <w:pPr>
        <w:pStyle w:val="Heading1"/>
        <w:spacing w:after="200" w:before="400"/>
      </w:pPr>
      <w:r>
        <w:t xml:space="preserve">4. Úprava skladby předmětů oboru Informační služby a mediální komunikace</w:t>
      </w:r>
    </w:p>
    <w:p>
      <w:pPr>
        <w:pStyle w:val="Heading2"/>
        <w:spacing w:after="150" w:before="300"/>
      </w:pPr>
      <w:r>
        <w:t xml:space="preserve">4.1 Zdůvodnění</w:t>
      </w:r>
    </w:p>
    <w:p>
      <w:pPr>
        <w:spacing w:after="160" w:line="300"/>
      </w:pPr>
      <w:r>
        <w:rPr>
          <w:sz w:val="22"/>
          <w:szCs w:val="22"/>
        </w:rPr>
        <w:t xml:space="preserve">Současný stav vykazuje obsahové duplicity a nedostatky mezi předměty IKT, Mediální komunikace (MEK), Digitální marketing a Design služeb. Konkrétním příkladem je výuka digitálního marketingu, kde se v současnosti pracuje na modelu fiktivní firmy namísto reálné analýzy dat klienta a nastavování cílů reklamních kampaní. Cílem navrhované úpravy je sjednotit praktickou/aplikační složku těchto předmětů do jednoho nového předmětu a zamezit tak překryvům ve výuce.</w:t>
      </w:r>
    </w:p>
    <w:p>
      <w:pPr>
        <w:pStyle w:val="Heading2"/>
        <w:spacing w:after="150" w:before="300"/>
      </w:pPr>
      <w:r>
        <w:t xml:space="preserve">4.2 Nový předmět: Mediální a audiovizuální produkce</w:t>
      </w:r>
    </w:p>
    <w:p>
      <w:pPr>
        <w:spacing w:after="160" w:line="300"/>
      </w:pPr>
      <w:r>
        <w:rPr>
          <w:sz w:val="22"/>
          <w:szCs w:val="22"/>
        </w:rPr>
        <w:t xml:space="preserve">Nový předmět bude propojovat praktickou aplikaci znalostí ze čtyř zdrojových předmětů. Zdrojové předměty zůstávají zaměřené na teorii a základy, nový předmět na praktickou realizaci a reálné výstupy: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500"/>
      </w:tblGrid>
      <w:tr>
        <w:trPr>
          <w:cantSplit/>
          <w:tblHeader/>
        </w:trPr>
        <w:tc>
          <w:tcPr>
            <w:tcW w:type="dxa" w:w="2000"/>
            <w:shd w:fill="1F3864" w:val="clear"/>
            <w:tcMar>
              <w:top w:type="dxa" w:w="80"/>
              <w:left w:type="dxa" w:w="100"/>
              <w:bottom w:type="dxa" w:w="80"/>
              <w:right w:type="dxa" w:w="100"/>
            </w:tcMar>
          </w:tcPr>
          <w:p>
            <w:r>
              <w:rPr>
                <w:b/>
                <w:bCs/>
                <w:color w:val="FFFFFF"/>
                <w:sz w:val="20"/>
                <w:szCs w:val="20"/>
              </w:rPr>
              <w:t xml:space="preserve">Zdrojový předmět</w:t>
            </w:r>
          </w:p>
        </w:tc>
        <w:tc>
          <w:tcPr>
            <w:tcW w:type="dxa" w:w="3500"/>
            <w:shd w:fill="1F3864" w:val="clear"/>
            <w:tcMar>
              <w:top w:type="dxa" w:w="80"/>
              <w:left w:type="dxa" w:w="100"/>
              <w:bottom w:type="dxa" w:w="80"/>
              <w:right w:type="dxa" w:w="100"/>
            </w:tcMar>
          </w:tcPr>
          <w:p>
            <w:r>
              <w:rPr>
                <w:b/>
                <w:bCs/>
                <w:color w:val="FFFFFF"/>
                <w:sz w:val="20"/>
                <w:szCs w:val="20"/>
              </w:rPr>
              <w:t xml:space="preserve">Zůstává v předmětu (teorie/základ)</w:t>
            </w:r>
          </w:p>
        </w:tc>
        <w:tc>
          <w:tcPr>
            <w:tcW w:type="dxa" w:w="3500"/>
            <w:shd w:fill="1F3864" w:val="clear"/>
            <w:tcMar>
              <w:top w:type="dxa" w:w="80"/>
              <w:left w:type="dxa" w:w="100"/>
              <w:bottom w:type="dxa" w:w="80"/>
              <w:right w:type="dxa" w:w="100"/>
            </w:tcMar>
          </w:tcPr>
          <w:p>
            <w:r>
              <w:rPr>
                <w:b/>
                <w:bCs/>
                <w:color w:val="FFFFFF"/>
                <w:sz w:val="20"/>
                <w:szCs w:val="20"/>
              </w:rPr>
              <w:t xml:space="preserve">Přesouvá se do Mediální a audiovizuální produkce (praxe)</w:t>
            </w:r>
          </w:p>
        </w:tc>
      </w:tr>
      <w:tr>
        <w:trPr>
          <w:cantSplit/>
        </w:trPr>
        <w:tc>
          <w:tcPr>
            <w:tcW w:type="dxa" w:w="2000"/>
            <w:tcMar>
              <w:top w:type="dxa" w:w="80"/>
              <w:left w:type="dxa" w:w="100"/>
              <w:bottom w:type="dxa" w:w="80"/>
              <w:right w:type="dxa" w:w="100"/>
            </w:tcMar>
          </w:tcPr>
          <w:p>
            <w:r>
              <w:rPr>
                <w:sz w:val="20"/>
                <w:szCs w:val="20"/>
              </w:rPr>
              <w:t xml:space="preserve">IKT</w:t>
            </w:r>
          </w:p>
        </w:tc>
        <w:tc>
          <w:tcPr>
            <w:tcW w:type="dxa" w:w="3500"/>
            <w:tcMar>
              <w:top w:type="dxa" w:w="80"/>
              <w:left w:type="dxa" w:w="100"/>
              <w:bottom w:type="dxa" w:w="80"/>
              <w:right w:type="dxa" w:w="100"/>
            </w:tcMar>
          </w:tcPr>
          <w:p>
            <w:r>
              <w:rPr>
                <w:sz w:val="20"/>
                <w:szCs w:val="20"/>
              </w:rPr>
              <w:t xml:space="preserve">Technický základ — datové formáty, hardware, kancelářský software, síť</w:t>
            </w:r>
          </w:p>
        </w:tc>
        <w:tc>
          <w:tcPr>
            <w:tcW w:type="dxa" w:w="3500"/>
            <w:tcMar>
              <w:top w:type="dxa" w:w="80"/>
              <w:left w:type="dxa" w:w="100"/>
              <w:bottom w:type="dxa" w:w="80"/>
              <w:right w:type="dxa" w:w="100"/>
            </w:tcMar>
          </w:tcPr>
          <w:p>
            <w:r>
              <w:rPr>
                <w:sz w:val="20"/>
                <w:szCs w:val="20"/>
              </w:rPr>
              <w:t xml:space="preserve">Grafika, úprava obrazu a fotografie, digitální design</w:t>
            </w:r>
          </w:p>
        </w:tc>
      </w:tr>
      <w:tr>
        <w:trPr>
          <w:cantSplit/>
        </w:trPr>
        <w:tc>
          <w:tcPr>
            <w:tcW w:type="dxa" w:w="2000"/>
            <w:shd w:fill="F2F2F2" w:val="clear"/>
            <w:tcMar>
              <w:top w:type="dxa" w:w="80"/>
              <w:left w:type="dxa" w:w="100"/>
              <w:bottom w:type="dxa" w:w="80"/>
              <w:right w:type="dxa" w:w="100"/>
            </w:tcMar>
          </w:tcPr>
          <w:p>
            <w:r>
              <w:rPr>
                <w:sz w:val="20"/>
                <w:szCs w:val="20"/>
              </w:rPr>
              <w:t xml:space="preserve">Mediální komunikace (MEK)</w:t>
            </w:r>
          </w:p>
        </w:tc>
        <w:tc>
          <w:tcPr>
            <w:tcW w:type="dxa" w:w="3500"/>
            <w:shd w:fill="F2F2F2" w:val="clear"/>
            <w:tcMar>
              <w:top w:type="dxa" w:w="80"/>
              <w:left w:type="dxa" w:w="100"/>
              <w:bottom w:type="dxa" w:w="80"/>
              <w:right w:type="dxa" w:w="100"/>
            </w:tcMar>
          </w:tcPr>
          <w:p>
            <w:r>
              <w:rPr>
                <w:sz w:val="20"/>
                <w:szCs w:val="20"/>
              </w:rPr>
              <w:t xml:space="preserve">Mediální gramotnost, typy sdělení, etika, kritické myšlení (redukce na 1 hodinu)</w:t>
            </w:r>
          </w:p>
        </w:tc>
        <w:tc>
          <w:tcPr>
            <w:tcW w:type="dxa" w:w="3500"/>
            <w:shd w:fill="F2F2F2" w:val="clear"/>
            <w:tcMar>
              <w:top w:type="dxa" w:w="80"/>
              <w:left w:type="dxa" w:w="100"/>
              <w:bottom w:type="dxa" w:w="80"/>
              <w:right w:type="dxa" w:w="100"/>
            </w:tcMar>
          </w:tcPr>
          <w:p>
            <w:r>
              <w:rPr>
                <w:sz w:val="20"/>
                <w:szCs w:val="20"/>
              </w:rPr>
              <w:t xml:space="preserve">Tvorba zpravodajských a propagačních útvarů, produkce mediálního obsahu</w:t>
            </w:r>
          </w:p>
        </w:tc>
      </w:tr>
      <w:tr>
        <w:trPr>
          <w:cantSplit/>
        </w:trPr>
        <w:tc>
          <w:tcPr>
            <w:tcW w:type="dxa" w:w="2000"/>
            <w:tcMar>
              <w:top w:type="dxa" w:w="80"/>
              <w:left w:type="dxa" w:w="100"/>
              <w:bottom w:type="dxa" w:w="80"/>
              <w:right w:type="dxa" w:w="100"/>
            </w:tcMar>
          </w:tcPr>
          <w:p>
            <w:r>
              <w:rPr>
                <w:sz w:val="20"/>
                <w:szCs w:val="20"/>
              </w:rPr>
              <w:t xml:space="preserve">Digitální marketing</w:t>
            </w:r>
          </w:p>
        </w:tc>
        <w:tc>
          <w:tcPr>
            <w:tcW w:type="dxa" w:w="3500"/>
            <w:tcMar>
              <w:top w:type="dxa" w:w="80"/>
              <w:left w:type="dxa" w:w="100"/>
              <w:bottom w:type="dxa" w:w="80"/>
              <w:right w:type="dxa" w:w="100"/>
            </w:tcMar>
          </w:tcPr>
          <w:p>
            <w:r>
              <w:rPr>
                <w:sz w:val="20"/>
                <w:szCs w:val="20"/>
              </w:rPr>
              <w:t xml:space="preserve">Strategie, cílení, teorie kampaní</w:t>
            </w:r>
          </w:p>
        </w:tc>
        <w:tc>
          <w:tcPr>
            <w:tcW w:type="dxa" w:w="3500"/>
            <w:tcMar>
              <w:top w:type="dxa" w:w="80"/>
              <w:left w:type="dxa" w:w="100"/>
              <w:bottom w:type="dxa" w:w="80"/>
              <w:right w:type="dxa" w:w="100"/>
            </w:tcMar>
          </w:tcPr>
          <w:p>
            <w:r>
              <w:rPr>
                <w:sz w:val="20"/>
                <w:szCs w:val="20"/>
              </w:rPr>
              <w:t xml:space="preserve">Reálná analýza dat klienta, tvorba a nasazení kampaně (náhrada modelu fiktivní firmy)</w:t>
            </w:r>
          </w:p>
        </w:tc>
      </w:tr>
      <w:tr>
        <w:trPr>
          <w:cantSplit/>
        </w:trPr>
        <w:tc>
          <w:tcPr>
            <w:tcW w:type="dxa" w:w="2000"/>
            <w:shd w:fill="F2F2F2" w:val="clear"/>
            <w:tcMar>
              <w:top w:type="dxa" w:w="80"/>
              <w:left w:type="dxa" w:w="100"/>
              <w:bottom w:type="dxa" w:w="80"/>
              <w:right w:type="dxa" w:w="100"/>
            </w:tcMar>
          </w:tcPr>
          <w:p>
            <w:r>
              <w:rPr>
                <w:sz w:val="20"/>
                <w:szCs w:val="20"/>
              </w:rPr>
              <w:t xml:space="preserve">Design služeb</w:t>
            </w:r>
          </w:p>
        </w:tc>
        <w:tc>
          <w:tcPr>
            <w:tcW w:type="dxa" w:w="3500"/>
            <w:shd w:fill="F2F2F2" w:val="clear"/>
            <w:tcMar>
              <w:top w:type="dxa" w:w="80"/>
              <w:left w:type="dxa" w:w="100"/>
              <w:bottom w:type="dxa" w:w="80"/>
              <w:right w:type="dxa" w:w="100"/>
            </w:tcMar>
          </w:tcPr>
          <w:p>
            <w:r>
              <w:rPr>
                <w:sz w:val="20"/>
                <w:szCs w:val="20"/>
              </w:rPr>
              <w:t xml:space="preserve">Teorie design thinkingu, principy UX</w:t>
            </w:r>
          </w:p>
        </w:tc>
        <w:tc>
          <w:tcPr>
            <w:tcW w:type="dxa" w:w="3500"/>
            <w:shd w:fill="F2F2F2" w:val="clear"/>
            <w:tcMar>
              <w:top w:type="dxa" w:w="80"/>
              <w:left w:type="dxa" w:w="100"/>
              <w:bottom w:type="dxa" w:w="80"/>
              <w:right w:type="dxa" w:w="100"/>
            </w:tcMar>
          </w:tcPr>
          <w:p>
            <w:r>
              <w:rPr>
                <w:sz w:val="20"/>
                <w:szCs w:val="20"/>
              </w:rPr>
              <w:t xml:space="preserve">Design služeb a UX/UI v praxi — návrh a prototypování webů, aplikací a publikací</w:t>
            </w:r>
          </w:p>
        </w:tc>
      </w:tr>
    </w:tbl>
    <w:p>
      <w:pPr>
        <w:spacing w:after="160"/>
      </w:pPr>
    </w:p>
    <w:p>
      <w:pPr>
        <w:spacing w:after="160" w:line="300"/>
      </w:pPr>
      <w:r>
        <w:rPr>
          <w:sz w:val="22"/>
          <w:szCs w:val="22"/>
        </w:rPr>
        <w:t xml:space="preserve">Úprava se dotýká čtyř různých vyučujících předmětů. Doporučuje se projednat rozdělení obsahu se všemi dotčenými vyučujícími (nebo garanty předmětů) společně, s jasným zápisem hranic mezi předměty — jinak hrozí, že rozdělení zůstane pouze na papíře a k reálnému odstranění duplicit nedojde.</w:t>
      </w:r>
    </w:p>
    <w:p>
      <w:pPr>
        <w:pStyle w:val="Heading2"/>
        <w:spacing w:after="150" w:before="300"/>
      </w:pPr>
      <w:r>
        <w:t xml:space="preserve">4.3 Organizace výuky</w:t>
      </w:r>
    </w:p>
    <w:p>
      <w:pPr>
        <w:pStyle w:val="ListParagraph"/>
        <w:numPr>
          <w:ilvl w:val="0"/>
          <w:numId w:val="1"/>
        </w:numPr>
        <w:spacing w:after="100" w:line="280"/>
      </w:pPr>
      <w:r>
        <w:rPr>
          <w:sz w:val="22"/>
          <w:szCs w:val="22"/>
        </w:rPr>
        <w:t xml:space="preserve">Hodina Mediální a audiovizuální produkce bude půlená — třída rozdělená na skupiny, maximálně 14 žáků na skupinu.</w:t>
      </w:r>
    </w:p>
    <w:p>
      <w:pPr>
        <w:pStyle w:val="ListParagraph"/>
        <w:numPr>
          <w:ilvl w:val="0"/>
          <w:numId w:val="1"/>
        </w:numPr>
        <w:spacing w:after="100" w:line="280"/>
      </w:pPr>
      <w:r>
        <w:rPr>
          <w:sz w:val="22"/>
          <w:szCs w:val="22"/>
        </w:rPr>
        <w:t xml:space="preserve">Při kapacitě oboru 23 přijímaných uchazečů (viz kap. 2.4) odpovídá dělení na dvě skupiny navrhovanému limitu.</w:t>
      </w:r>
    </w:p>
    <w:p>
      <w:pPr>
        <w:pStyle w:val="ListParagraph"/>
        <w:numPr>
          <w:ilvl w:val="0"/>
          <w:numId w:val="1"/>
        </w:numPr>
        <w:spacing w:after="100" w:line="280"/>
      </w:pPr>
      <w:r>
        <w:rPr>
          <w:sz w:val="22"/>
          <w:szCs w:val="22"/>
        </w:rPr>
        <w:t xml:space="preserve">Půlení neznamená nutně dva vyučující současně — jde spíš o rozvrhovou otázku: pro druhou polovinu třídy je potřeba najít souběžnou dvouhodinovou výuku, kam bude po dobu Mediální a audiovizuální produkce chodit. Ideální kombinace je párování s tělocvikem nebo s IKT, protože oba tyto předměty jsou taky dvouhodinové.</w:t>
      </w:r>
    </w:p>
    <w:p>
      <w:pPr>
        <w:pStyle w:val="ListParagraph"/>
        <w:numPr>
          <w:ilvl w:val="0"/>
          <w:numId w:val="1"/>
        </w:numPr>
        <w:spacing w:after="100" w:line="280"/>
      </w:pPr>
      <w:r>
        <w:rPr>
          <w:sz w:val="22"/>
          <w:szCs w:val="22"/>
        </w:rPr>
        <w:t xml:space="preserve">Dlouhodobě by bylo žádoucí mít Mediální a audiovizuální produkci 2× týdně po 2 hodinách, to je ale při současných rozvrhových možnostech pravděpodobně nereálné.</w:t>
      </w:r>
    </w:p>
    <w:p>
      <w:pPr>
        <w:pStyle w:val="ListParagraph"/>
        <w:numPr>
          <w:ilvl w:val="0"/>
          <w:numId w:val="1"/>
        </w:numPr>
        <w:spacing w:after="100" w:line="280"/>
      </w:pPr>
      <w:r>
        <w:rPr>
          <w:sz w:val="22"/>
          <w:szCs w:val="22"/>
        </w:rPr>
        <w:t xml:space="preserve">Garantka oboru si zároveň sama doplňuje kvalifikaci dalším studiem — cílem je, aby v Mediální a audiovizuální produkci mohla samostatně vést výuku bez nutnosti navyšovat počet vyučujících v předmětu samotném.</w:t>
      </w:r>
    </w:p>
    <w:p>
      <w:pPr>
        <w:pStyle w:val="ListParagraph"/>
        <w:numPr>
          <w:ilvl w:val="0"/>
          <w:numId w:val="1"/>
        </w:numPr>
        <w:spacing w:after="100" w:line="280"/>
      </w:pPr>
      <w:r>
        <w:rPr>
          <w:sz w:val="22"/>
          <w:szCs w:val="22"/>
        </w:rPr>
        <w:t xml:space="preserve">Kapacita pracovních stanic v ateliéru musí odpovídat velikosti skupiny (14 žáků) — orientační vizualizace prostoru zobrazuje 10 stanic, což je dáno omezením vizualizačního nástroje, nikoli zamýšlenou kapacitou; skutečný počet stanic je třeba dopočítat podle reálného rozměru místnosti.</w:t>
      </w:r>
    </w:p>
    <w:p>
      <w:pPr>
        <w:pStyle w:val="Heading2"/>
        <w:spacing w:after="150" w:before="300"/>
      </w:pPr>
      <w:r>
        <w:t xml:space="preserve">4.4 Vazba na RVP a formální postup</w:t>
      </w:r>
    </w:p>
    <w:p>
      <w:pPr>
        <w:spacing w:after="160" w:line="300"/>
      </w:pPr>
      <w:r>
        <w:rPr>
          <w:sz w:val="22"/>
          <w:szCs w:val="22"/>
        </w:rPr>
        <w:t xml:space="preserve">Podle školského zákona (č. 561/2004 Sb.) musí být ŠVP v souladu s RVP, ale RVP definuje vzdělávací obsah a očekávané výsledky vzdělávání za vzdělávací oblasti, nikoli za konkrétně pojmenované předměty. Škola má ve ŠVP volnost si obsah jedné vzdělávací oblasti rozdělit mezi více předmětů, případně obsah více oblastí sloučit do jednoho předmětu — podmínkou je, že všechny očekávané výsledky vzdělávání jsou pokryté někde v ŠVP s odpovídající celkovou hodinovou dotací a jsou dohledatelně namapované v učebních osnovách.</w:t>
      </w:r>
    </w:p>
    <w:p>
      <w:pPr>
        <w:spacing w:after="160" w:line="300"/>
      </w:pPr>
      <w:r>
        <w:rPr>
          <w:sz w:val="22"/>
          <w:szCs w:val="22"/>
        </w:rPr>
        <w:t xml:space="preserve">RVP oboru 72-41-M/01 navíc výslovně počítá s prostorem pro takovou profilaci: v rámcovém rozvržení obsahu vzdělávání je vyhrazeno 32 týdenních / 1 024 celkových disponibilních hodin.</w:t>
      </w:r>
    </w:p>
    <w:p>
      <w:pPr>
        <w:spacing w:after="120" w:line="280"/>
        <w:ind w:left="400"/>
      </w:pPr>
      <w:r>
        <w:rPr>
          <w:i/>
          <w:iCs/>
          <w:color w:val="595959"/>
          <w:sz w:val="22"/>
          <w:szCs w:val="22"/>
        </w:rPr>
        <w:t xml:space="preserve">„Disponibilní hodiny jsou určeny pro vytváření profilace ŠVP, realizaci průřezových témat, posílení hodinové dotace jednotlivých vzdělávacích oblastí a obsahových okruhů, pro podporu zájmové orientace žáků, pro zavádění výuky dalšího cizího jazyka.“</w:t>
      </w:r>
    </w:p>
    <w:p>
      <w:pPr>
        <w:spacing w:after="200"/>
      </w:pPr>
      <w:r>
        <w:rPr>
          <w:i/>
          <w:iCs/>
          <w:color w:val="595959"/>
          <w:sz w:val="18"/>
          <w:szCs w:val="18"/>
        </w:rPr>
        <w:t xml:space="preserve">Zdroj: RVP oboru 72-41-M/01 Informační služby a mediální komunikace, kap. 7 — Rámcové rozvržení obsahu vzdělávání, poznámka č. 3</w:t>
      </w:r>
    </w:p>
    <w:p>
      <w:pPr>
        <w:spacing w:after="160" w:line="300"/>
      </w:pPr>
      <w:r>
        <w:rPr>
          <w:sz w:val="22"/>
          <w:szCs w:val="22"/>
        </w:rPr>
        <w:t xml:space="preserve">Nový předmět Mediální a audiovizuální produkce se tedy může opřít přímo o disponibilní hodiny jako o legitimní a RVP výslovně předpokládaný nástroj profilace ŠVP — není nutné jej zdůvodňovat výhradně přesunem obsahu z IKT.</w:t>
      </w:r>
    </w:p>
    <w:p>
      <w:pPr>
        <w:pStyle w:val="Heading3"/>
        <w:spacing w:after="100" w:before="200"/>
      </w:pPr>
      <w:r>
        <w:t xml:space="preserve">Relevantní formulace RVP — informatické vzdělávání a grafika</w:t>
      </w:r>
    </w:p>
    <w:p>
      <w:pPr>
        <w:spacing w:after="120" w:line="280"/>
        <w:ind w:left="400"/>
      </w:pPr>
      <w:r>
        <w:rPr>
          <w:i/>
          <w:iCs/>
          <w:color w:val="595959"/>
          <w:sz w:val="22"/>
          <w:szCs w:val="22"/>
        </w:rPr>
        <w:t xml:space="preserve">„aktivně a s porozuměním používá různé datové formáty, ovládá konverzi mezi různými formáty téhož obsahu“</w:t>
      </w:r>
    </w:p>
    <w:p>
      <w:pPr>
        <w:spacing w:after="120" w:line="280"/>
        <w:ind w:left="400"/>
      </w:pPr>
      <w:r>
        <w:rPr>
          <w:i/>
          <w:iCs/>
          <w:color w:val="595959"/>
          <w:sz w:val="22"/>
          <w:szCs w:val="22"/>
        </w:rPr>
        <w:t xml:space="preserve">„zná základní typy grafických formátů, volí odpovídající programové vybavení pro práci s nimi a na základní úrovni grafiku tvoří a upravuje“</w:t>
      </w:r>
    </w:p>
    <w:p>
      <w:pPr>
        <w:spacing w:after="120" w:line="280"/>
        <w:ind w:left="400"/>
      </w:pPr>
      <w:r>
        <w:rPr>
          <w:i/>
          <w:iCs/>
          <w:color w:val="595959"/>
          <w:sz w:val="22"/>
          <w:szCs w:val="22"/>
        </w:rPr>
        <w:t xml:space="preserve">„vytváří jednoduché multimediální dokumenty (tedy dokumenty v nichž je spojena textová, zvuková a obrazová složka informace) v některém vhodném formátu“</w:t>
      </w:r>
    </w:p>
    <w:p>
      <w:pPr>
        <w:spacing w:after="160" w:line="300"/>
      </w:pPr>
      <w:r>
        <w:rPr>
          <w:sz w:val="22"/>
          <w:szCs w:val="22"/>
        </w:rPr>
        <w:t xml:space="preserve">Formulace „na základní úrovni grafiku tvoří a upravuje“ umožňuje jasné dělení: IKT pokrývá základní úroveň (formáty, komprese, orientace v nástrojích), Mediální a audiovizuální produkce rozvíjí totéž do praktické hloubky (úprava fotografie pro konkrétní publikační účel — web, sociální sítě, tisk).</w:t>
      </w:r>
    </w:p>
    <w:p>
      <w:pPr>
        <w:pStyle w:val="Heading3"/>
        <w:spacing w:after="100" w:before="200"/>
      </w:pPr>
      <w:r>
        <w:t xml:space="preserve">Relevantní formulace RVP — mediální komunikace a odborná komunikace</w:t>
      </w:r>
    </w:p>
    <w:p>
      <w:pPr>
        <w:spacing w:after="120" w:line="280"/>
        <w:ind w:left="400"/>
      </w:pPr>
      <w:r>
        <w:rPr>
          <w:i/>
          <w:iCs/>
          <w:color w:val="595959"/>
          <w:sz w:val="22"/>
          <w:szCs w:val="22"/>
        </w:rPr>
        <w:t xml:space="preserve">„rozlišuje typy mediálních sdělení a jejich funkci, identifikuje jejich typické postupy, jazykové a jiné prostředky“</w:t>
      </w:r>
    </w:p>
    <w:p>
      <w:pPr>
        <w:spacing w:after="120" w:line="280"/>
        <w:ind w:left="400"/>
      </w:pPr>
      <w:r>
        <w:rPr>
          <w:i/>
          <w:iCs/>
          <w:color w:val="595959"/>
          <w:sz w:val="22"/>
          <w:szCs w:val="22"/>
        </w:rPr>
        <w:t xml:space="preserve">„sestaví jednoduché zpravodajské a propagační útvary (zpráva, reportáž, pozvánka, nabídka…)“</w:t>
      </w:r>
    </w:p>
    <w:p>
      <w:pPr>
        <w:spacing w:after="120" w:line="280"/>
        <w:ind w:left="400"/>
      </w:pPr>
      <w:r>
        <w:rPr>
          <w:i/>
          <w:iCs/>
          <w:color w:val="595959"/>
          <w:sz w:val="22"/>
          <w:szCs w:val="22"/>
        </w:rPr>
        <w:t xml:space="preserve">„kriticky přistupuje k informacím z internetových zdrojů a ověřuje si jejich hodnověrnost“</w:t>
      </w:r>
    </w:p>
    <w:p>
      <w:pPr>
        <w:spacing w:after="120" w:line="280"/>
        <w:ind w:left="400"/>
      </w:pPr>
      <w:r>
        <w:rPr>
          <w:i/>
          <w:iCs/>
          <w:color w:val="595959"/>
          <w:sz w:val="22"/>
          <w:szCs w:val="22"/>
        </w:rPr>
        <w:t xml:space="preserve">„vyhotoví písemnosti pro interní a vnější komunikaci věcně, jazykově a formálně správně a v souladu s normalizovanou úpravou písemností“</w:t>
      </w:r>
    </w:p>
    <w:p>
      <w:pPr>
        <w:spacing w:after="160" w:line="300"/>
      </w:pPr>
      <w:r>
        <w:rPr>
          <w:sz w:val="22"/>
          <w:szCs w:val="22"/>
        </w:rPr>
        <w:t xml:space="preserve">Tento blok formulací dává Mediální a audiovizuální produkci obsahovou oporu daleko širší než jen práci s fotografií — pokrývá tvorbu zpravodajských a propagačních textů, práci s klientem/veřejností a kritické myšlení, tedy celý záběr plánovaného předmětu.</w:t>
      </w:r>
    </w:p>
    <w:p>
      <w:pPr>
        <w:pStyle w:val="Heading3"/>
        <w:spacing w:after="100" w:before="200"/>
      </w:pPr>
      <w:r>
        <w:t xml:space="preserve">Návrh formulace do osnov (pracovní verze)</w:t>
      </w:r>
    </w:p>
    <w:p>
      <w:pPr>
        <w:spacing w:after="120" w:line="280"/>
        <w:ind w:left="400"/>
      </w:pPr>
      <w:r>
        <w:rPr>
          <w:i/>
          <w:iCs/>
          <w:color w:val="595959"/>
          <w:sz w:val="22"/>
          <w:szCs w:val="22"/>
        </w:rPr>
        <w:t xml:space="preserve">„Předmět Mediální a audiovizuální produkce navazuje na základy práce s digitálním obrazem získané v rámci IKT (RVP: grafické formáty, základní úprava) a rozvíjí je do praktické roviny tvorby mediálního obsahu — fotografie, videa a grafiky pro publikační a propagační účely, v návaznosti na výsledky vzdělávání v oblasti mediální komunikace a odborného okruhu Komunikace.“</w:t>
      </w:r>
    </w:p>
    <w:p>
      <w:pPr>
        <w:spacing w:after="160" w:line="300"/>
      </w:pPr>
      <w:r>
        <w:rPr>
          <w:sz w:val="22"/>
          <w:szCs w:val="22"/>
        </w:rPr>
        <w:t xml:space="preserve">Doporučený formální postup: (1) zapracovat výše uvedené mapování do učebních osnov ve ŠVP s doslovným odkazem na příslušné formulace RVP, (2) v osnovách IKT explicitně poznamenat křížovým odkazem, že daný výstup je zajištěn v jiném předmětu — obdobně, jako se běžně postupuje u průřezových témat a mezipředmětových vztahů, (3) změnu projednat a schválit v rámci standardního postupu úpravy ŠVP (ředitelka školy, pedagogická rada); vzhledem k tomu, že jde o přerozdělení obsahu v rámci disponibilních hodin, nejde o změnu akreditace oboru, a není tedy potřeba schválení MŠMT.</w:t>
      </w:r>
    </w:p>
    <w:p>
      <w:pPr>
        <w:pStyle w:val="Heading2"/>
        <w:spacing w:after="150" w:before="300"/>
      </w:pPr>
      <w:r>
        <w:t xml:space="preserve">4.5 Přesah do oboru Veřejnosprávní činnost</w:t>
      </w:r>
    </w:p>
    <w:p>
      <w:pPr>
        <w:spacing w:after="160" w:line="300"/>
      </w:pPr>
      <w:r>
        <w:rPr>
          <w:sz w:val="22"/>
          <w:szCs w:val="22"/>
        </w:rPr>
        <w:t xml:space="preserve">I když je popsaná úprava kurikula zaměřena primárně na obor Informační služby a mediální komunikace, obdobná potřeba modernizace se týká i předmětu mediální komunikace v oboru Veřejnosprávní činnost. Přestože jde o stabilní, dlouhodobě plně obsazený obor (viz kap. 2.3), i jeho dlouhodobá udržitelnost závisí na tom, aby výuka reflektovala reálné požadavky praxe, ne jen teorii.</w:t>
      </w:r>
    </w:p>
    <w:p>
      <w:pPr>
        <w:spacing w:after="160" w:line="300"/>
      </w:pPr>
      <w:r>
        <w:rPr>
          <w:sz w:val="22"/>
          <w:szCs w:val="22"/>
        </w:rPr>
        <w:t xml:space="preserve">Cílem je posílit v předmětu mediální komunikace praktické dovednosti, které si žáci mohou přímo přenést na pracoviště veřejné správy — psaní tiskových zpráv a úředních sdělení pro veřejnost, práci s místními médii, přípravu obsahu pro weby a sociální sítě úřadů a institucí, případně základy krizové komunikace. Nový mediálně-digitální ateliér (kap. 3) je pro tuto výuku k dispozici stejně jako pro obor Informační služby — je tedy přirozeným sdíleným zázemím pro praktickou výuku mediální komunikace v obou oborech školy.</w:t>
      </w:r>
    </w:p>
    <w:p>
      <w:r>
        <w:br w:type="page"/>
      </w:r>
    </w:p>
    <w:p>
      <w:pPr>
        <w:pStyle w:val="Heading1"/>
        <w:spacing w:after="200" w:before="400"/>
      </w:pPr>
      <w:r>
        <w:t xml:space="preserve">5. Souhrnný harmonogram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cantSplit/>
          <w:tblHeader/>
        </w:trPr>
        <w:tc>
          <w:tcPr>
            <w:tcW w:type="dxa" w:w="2600"/>
            <w:shd w:fill="1F3864" w:val="clear"/>
            <w:tcMar>
              <w:top w:type="dxa" w:w="80"/>
              <w:left w:type="dxa" w:w="100"/>
              <w:bottom w:type="dxa" w:w="80"/>
              <w:right w:type="dxa" w:w="100"/>
            </w:tcMar>
          </w:tcPr>
          <w:p>
            <w:r>
              <w:rPr>
                <w:b/>
                <w:bCs/>
                <w:color w:val="FFFFFF"/>
                <w:sz w:val="20"/>
                <w:szCs w:val="20"/>
              </w:rPr>
              <w:t xml:space="preserve">Kdy</w:t>
            </w:r>
          </w:p>
        </w:tc>
        <w:tc>
          <w:tcPr>
            <w:tcW w:type="dxa" w:w="6400"/>
            <w:shd w:fill="1F3864" w:val="clear"/>
            <w:tcMar>
              <w:top w:type="dxa" w:w="80"/>
              <w:left w:type="dxa" w:w="100"/>
              <w:bottom w:type="dxa" w:w="80"/>
              <w:right w:type="dxa" w:w="100"/>
            </w:tcMar>
          </w:tcPr>
          <w:p>
            <w:r>
              <w:rPr>
                <w:b/>
                <w:bCs/>
                <w:color w:val="FFFFFF"/>
                <w:sz w:val="20"/>
                <w:szCs w:val="20"/>
              </w:rPr>
              <w:t xml:space="preserve">Co</w:t>
            </w:r>
          </w:p>
        </w:tc>
      </w:tr>
      <w:tr>
        <w:trPr>
          <w:cantSplit/>
        </w:trPr>
        <w:tc>
          <w:tcPr>
            <w:tcW w:type="dxa" w:w="2600"/>
            <w:tcMar>
              <w:top w:type="dxa" w:w="80"/>
              <w:left w:type="dxa" w:w="100"/>
              <w:bottom w:type="dxa" w:w="80"/>
              <w:right w:type="dxa" w:w="100"/>
            </w:tcMar>
          </w:tcPr>
          <w:p>
            <w:r>
              <w:rPr>
                <w:sz w:val="20"/>
                <w:szCs w:val="20"/>
              </w:rPr>
              <w:t xml:space="preserve">Podzim 2026</w:t>
            </w:r>
          </w:p>
        </w:tc>
        <w:tc>
          <w:tcPr>
            <w:tcW w:type="dxa" w:w="6400"/>
            <w:tcMar>
              <w:top w:type="dxa" w:w="80"/>
              <w:left w:type="dxa" w:w="100"/>
              <w:bottom w:type="dxa" w:w="80"/>
              <w:right w:type="dxa" w:w="100"/>
            </w:tcMar>
          </w:tcPr>
          <w:p>
            <w:r>
              <w:rPr>
                <w:sz w:val="20"/>
                <w:szCs w:val="20"/>
              </w:rPr>
              <w:t xml:space="preserve">Sestavení rozpočtu, oslovení stolárny a IT dodavatele, zahájení výroby vzorového stolu</w:t>
            </w:r>
          </w:p>
        </w:tc>
      </w:tr>
      <w:tr>
        <w:trPr>
          <w:cantSplit/>
        </w:trPr>
        <w:tc>
          <w:tcPr>
            <w:tcW w:type="dxa" w:w="2600"/>
            <w:shd w:fill="F2F2F2" w:val="clear"/>
            <w:tcMar>
              <w:top w:type="dxa" w:w="80"/>
              <w:left w:type="dxa" w:w="100"/>
              <w:bottom w:type="dxa" w:w="80"/>
              <w:right w:type="dxa" w:w="100"/>
            </w:tcMar>
          </w:tcPr>
          <w:p>
            <w:r>
              <w:rPr>
                <w:sz w:val="20"/>
                <w:szCs w:val="20"/>
              </w:rPr>
              <w:t xml:space="preserve">Zima/jaro 2027</w:t>
            </w:r>
          </w:p>
        </w:tc>
        <w:tc>
          <w:tcPr>
            <w:tcW w:type="dxa" w:w="6400"/>
            <w:shd w:fill="F2F2F2" w:val="clear"/>
            <w:tcMar>
              <w:top w:type="dxa" w:w="80"/>
              <w:left w:type="dxa" w:w="100"/>
              <w:bottom w:type="dxa" w:w="80"/>
              <w:right w:type="dxa" w:w="100"/>
            </w:tcMar>
          </w:tcPr>
          <w:p>
            <w:r>
              <w:rPr>
                <w:sz w:val="20"/>
                <w:szCs w:val="20"/>
              </w:rPr>
              <w:t xml:space="preserve">Příprava ŠVP dokumentace (mapovací tabulka, osnovy), projednání s vyučujícími IKT/MEK/DM/Design služeb, projednání v pedagogické radě, zahájení výroby série stolů</w:t>
            </w:r>
          </w:p>
        </w:tc>
      </w:tr>
      <w:tr>
        <w:trPr>
          <w:cantSplit/>
        </w:trPr>
        <w:tc>
          <w:tcPr>
            <w:tcW w:type="dxa" w:w="2600"/>
            <w:tcMar>
              <w:top w:type="dxa" w:w="80"/>
              <w:left w:type="dxa" w:w="100"/>
              <w:bottom w:type="dxa" w:w="80"/>
              <w:right w:type="dxa" w:w="100"/>
            </w:tcMar>
          </w:tcPr>
          <w:p>
            <w:r>
              <w:rPr>
                <w:sz w:val="20"/>
                <w:szCs w:val="20"/>
              </w:rPr>
              <w:t xml:space="preserve">Jaro/léto 2027</w:t>
            </w:r>
          </w:p>
        </w:tc>
        <w:tc>
          <w:tcPr>
            <w:tcW w:type="dxa" w:w="6400"/>
            <w:tcMar>
              <w:top w:type="dxa" w:w="80"/>
              <w:left w:type="dxa" w:w="100"/>
              <w:bottom w:type="dxa" w:w="80"/>
              <w:right w:type="dxa" w:w="100"/>
            </w:tcMar>
          </w:tcPr>
          <w:p>
            <w:r>
              <w:rPr>
                <w:sz w:val="20"/>
                <w:szCs w:val="20"/>
              </w:rPr>
              <w:t xml:space="preserve">Dokončení dodávek nábytku, příprava kampaně na celou ČR s obsahem o ateliéru</w:t>
            </w:r>
          </w:p>
        </w:tc>
      </w:tr>
      <w:tr>
        <w:trPr>
          <w:cantSplit/>
        </w:trPr>
        <w:tc>
          <w:tcPr>
            <w:tcW w:type="dxa" w:w="2600"/>
            <w:shd w:fill="F2F2F2" w:val="clear"/>
            <w:tcMar>
              <w:top w:type="dxa" w:w="80"/>
              <w:left w:type="dxa" w:w="100"/>
              <w:bottom w:type="dxa" w:w="80"/>
              <w:right w:type="dxa" w:w="100"/>
            </w:tcMar>
          </w:tcPr>
          <w:p>
            <w:r>
              <w:rPr>
                <w:sz w:val="20"/>
                <w:szCs w:val="20"/>
              </w:rPr>
              <w:t xml:space="preserve">Červenec 2027</w:t>
            </w:r>
          </w:p>
        </w:tc>
        <w:tc>
          <w:tcPr>
            <w:tcW w:type="dxa" w:w="6400"/>
            <w:shd w:fill="F2F2F2" w:val="clear"/>
            <w:tcMar>
              <w:top w:type="dxa" w:w="80"/>
              <w:left w:type="dxa" w:w="100"/>
              <w:bottom w:type="dxa" w:w="80"/>
              <w:right w:type="dxa" w:w="100"/>
            </w:tcMar>
          </w:tcPr>
          <w:p>
            <w:r>
              <w:rPr>
                <w:sz w:val="20"/>
                <w:szCs w:val="20"/>
              </w:rPr>
              <w:t xml:space="preserve">Stavební a elektroinstalační práce</w:t>
            </w:r>
          </w:p>
        </w:tc>
      </w:tr>
      <w:tr>
        <w:trPr>
          <w:cantSplit/>
        </w:trPr>
        <w:tc>
          <w:tcPr>
            <w:tcW w:type="dxa" w:w="2600"/>
            <w:tcMar>
              <w:top w:type="dxa" w:w="80"/>
              <w:left w:type="dxa" w:w="100"/>
              <w:bottom w:type="dxa" w:w="80"/>
              <w:right w:type="dxa" w:w="100"/>
            </w:tcMar>
          </w:tcPr>
          <w:p>
            <w:r>
              <w:rPr>
                <w:sz w:val="20"/>
                <w:szCs w:val="20"/>
              </w:rPr>
              <w:t xml:space="preserve">Srpen 2027</w:t>
            </w:r>
          </w:p>
        </w:tc>
        <w:tc>
          <w:tcPr>
            <w:tcW w:type="dxa" w:w="6400"/>
            <w:tcMar>
              <w:top w:type="dxa" w:w="80"/>
              <w:left w:type="dxa" w:w="100"/>
              <w:bottom w:type="dxa" w:w="80"/>
              <w:right w:type="dxa" w:w="100"/>
            </w:tcMar>
          </w:tcPr>
          <w:p>
            <w:r>
              <w:rPr>
                <w:sz w:val="20"/>
                <w:szCs w:val="20"/>
              </w:rPr>
              <w:t xml:space="preserve">Instalace, uvedení do provozu</w:t>
            </w:r>
          </w:p>
        </w:tc>
      </w:tr>
      <w:tr>
        <w:trPr>
          <w:cantSplit/>
        </w:trPr>
        <w:tc>
          <w:tcPr>
            <w:tcW w:type="dxa" w:w="2600"/>
            <w:shd w:fill="F2F2F2" w:val="clear"/>
            <w:tcMar>
              <w:top w:type="dxa" w:w="80"/>
              <w:left w:type="dxa" w:w="100"/>
              <w:bottom w:type="dxa" w:w="80"/>
              <w:right w:type="dxa" w:w="100"/>
            </w:tcMar>
          </w:tcPr>
          <w:p>
            <w:r>
              <w:rPr>
                <w:sz w:val="20"/>
                <w:szCs w:val="20"/>
              </w:rPr>
              <w:t xml:space="preserve">Září 2027</w:t>
            </w:r>
          </w:p>
        </w:tc>
        <w:tc>
          <w:tcPr>
            <w:tcW w:type="dxa" w:w="6400"/>
            <w:shd w:fill="F2F2F2" w:val="clear"/>
            <w:tcMar>
              <w:top w:type="dxa" w:w="80"/>
              <w:left w:type="dxa" w:w="100"/>
              <w:bottom w:type="dxa" w:w="80"/>
              <w:right w:type="dxa" w:w="100"/>
            </w:tcMar>
          </w:tcPr>
          <w:p>
            <w:r>
              <w:rPr>
                <w:sz w:val="20"/>
                <w:szCs w:val="20"/>
              </w:rPr>
              <w:t xml:space="preserve">Start výuky v novém prostoru a v novém předmětu, zapojení do dnů otevřených dveří</w:t>
            </w:r>
          </w:p>
        </w:tc>
      </w:tr>
      <w:tr>
        <w:trPr>
          <w:cantSplit/>
        </w:trPr>
        <w:tc>
          <w:tcPr>
            <w:tcW w:type="dxa" w:w="2600"/>
            <w:tcMar>
              <w:top w:type="dxa" w:w="80"/>
              <w:left w:type="dxa" w:w="100"/>
              <w:bottom w:type="dxa" w:w="80"/>
              <w:right w:type="dxa" w:w="100"/>
            </w:tcMar>
          </w:tcPr>
          <w:p>
            <w:r>
              <w:rPr>
                <w:sz w:val="20"/>
                <w:szCs w:val="20"/>
              </w:rPr>
              <w:t xml:space="preserve">2027/2028</w:t>
            </w:r>
          </w:p>
        </w:tc>
        <w:tc>
          <w:tcPr>
            <w:tcW w:type="dxa" w:w="6400"/>
            <w:tcMar>
              <w:top w:type="dxa" w:w="80"/>
              <w:left w:type="dxa" w:w="100"/>
              <w:bottom w:type="dxa" w:w="80"/>
              <w:right w:type="dxa" w:w="100"/>
            </w:tcMar>
          </w:tcPr>
          <w:p>
            <w:r>
              <w:rPr>
                <w:sz w:val="20"/>
                <w:szCs w:val="20"/>
              </w:rPr>
              <w:t xml:space="preserve">Provizorní základní provoz nahrávací místnosti (fáze 2) souběžně s provozem hlavního ateliéru</w:t>
            </w:r>
          </w:p>
        </w:tc>
      </w:tr>
      <w:tr>
        <w:trPr>
          <w:cantSplit/>
        </w:trPr>
        <w:tc>
          <w:tcPr>
            <w:tcW w:type="dxa" w:w="2600"/>
            <w:shd w:fill="F2F2F2" w:val="clear"/>
            <w:tcMar>
              <w:top w:type="dxa" w:w="80"/>
              <w:left w:type="dxa" w:w="100"/>
              <w:bottom w:type="dxa" w:w="80"/>
              <w:right w:type="dxa" w:w="100"/>
            </w:tcMar>
          </w:tcPr>
          <w:p>
            <w:r>
              <w:rPr>
                <w:sz w:val="20"/>
                <w:szCs w:val="20"/>
              </w:rPr>
              <w:t xml:space="preserve">Léto 2028</w:t>
            </w:r>
          </w:p>
        </w:tc>
        <w:tc>
          <w:tcPr>
            <w:tcW w:type="dxa" w:w="6400"/>
            <w:shd w:fill="F2F2F2" w:val="clear"/>
            <w:tcMar>
              <w:top w:type="dxa" w:w="80"/>
              <w:left w:type="dxa" w:w="100"/>
              <w:bottom w:type="dxa" w:w="80"/>
              <w:right w:type="dxa" w:w="100"/>
            </w:tcMar>
          </w:tcPr>
          <w:p>
            <w:r>
              <w:rPr>
                <w:sz w:val="20"/>
                <w:szCs w:val="20"/>
              </w:rPr>
              <w:t xml:space="preserve">Fáze 2: plná modernizace současného malého ateliéru na odzvučenou nahrávací místnost</w:t>
            </w:r>
          </w:p>
        </w:tc>
      </w:tr>
    </w:tbl>
    <w:p>
      <w:pPr>
        <w:spacing w:after="160"/>
      </w:pPr>
    </w:p>
    <w:p>
      <w:pPr>
        <w:pStyle w:val="Heading1"/>
        <w:spacing w:after="200" w:before="400"/>
      </w:pPr>
      <w:r>
        <w:t xml:space="preserve">6. Rizika a doporučení</w:t>
      </w:r>
    </w:p>
    <w:p>
      <w:pPr>
        <w:pStyle w:val="ListParagraph"/>
        <w:numPr>
          <w:ilvl w:val="0"/>
          <w:numId w:val="1"/>
        </w:numPr>
        <w:spacing w:after="100" w:line="280"/>
      </w:pPr>
      <w:r>
        <w:rPr>
          <w:sz w:val="22"/>
          <w:szCs w:val="22"/>
        </w:rPr>
        <w:t xml:space="preserve">Riziko: výroba stolů u stolárny nestihne termín, pokud objednávka proběhne až po dokončení stavebních prací. Doporučení: zahájit výrobu v průběhu školního roku, ne až v létě.</w:t>
      </w:r>
    </w:p>
    <w:p>
      <w:pPr>
        <w:pStyle w:val="ListParagraph"/>
        <w:numPr>
          <w:ilvl w:val="0"/>
          <w:numId w:val="1"/>
        </w:numPr>
        <w:spacing w:after="100" w:line="280"/>
      </w:pPr>
      <w:r>
        <w:rPr>
          <w:sz w:val="22"/>
          <w:szCs w:val="22"/>
        </w:rPr>
        <w:t xml:space="preserve">Riziko: zapuštěná elektroinstalace vyžaduje jiného dodavatele než nábytek — bez včasného sladění rozměrů kabelové průchodky se stavební částí hrozí nesoulad při instalaci. Doporučení: společná schůzka stolárny a elektrikáře před zahájením výroby.</w:t>
      </w:r>
    </w:p>
    <w:p>
      <w:pPr>
        <w:pStyle w:val="ListParagraph"/>
        <w:numPr>
          <w:ilvl w:val="0"/>
          <w:numId w:val="1"/>
        </w:numPr>
        <w:spacing w:after="100" w:line="280"/>
      </w:pPr>
      <w:r>
        <w:rPr>
          <w:sz w:val="22"/>
          <w:szCs w:val="22"/>
        </w:rPr>
        <w:t xml:space="preserve">Riziko: úprava skladby předmětů zasahuje do práce čtyř vyučujících. Bez jejich zapojení do přípravy hrozí formální rozdělení bez reálného odstranění duplicit. Doporučení: společné projednání hranic obsahu se všemi dotčenými vyučujícími.</w:t>
      </w:r>
    </w:p>
    <w:p>
      <w:pPr>
        <w:pStyle w:val="ListParagraph"/>
        <w:numPr>
          <w:ilvl w:val="0"/>
          <w:numId w:val="1"/>
        </w:numPr>
        <w:spacing w:after="100" w:line="280"/>
      </w:pPr>
      <w:r>
        <w:rPr>
          <w:sz w:val="22"/>
          <w:szCs w:val="22"/>
        </w:rPr>
        <w:t xml:space="preserve">Riziko: kapacita pracovních stanic v ateliéru neodpovídá plánované velikosti skupiny (14 žáků). Doporučení: přepočítat rozměr místnosti a počet stanic před finalizací objednávky stolů.</w:t>
      </w:r>
    </w:p>
    <w:p>
      <w:pPr>
        <w:pStyle w:val="ListParagraph"/>
        <w:numPr>
          <w:ilvl w:val="0"/>
          <w:numId w:val="1"/>
        </w:numPr>
        <w:spacing w:after="100" w:line="280"/>
      </w:pPr>
      <w:r>
        <w:rPr>
          <w:sz w:val="22"/>
          <w:szCs w:val="22"/>
        </w:rPr>
        <w:t xml:space="preserve">Riziko: rozpočet 1 mil. Kč nemusí pokrýt zakázkovou výrobu se zajížděním monitorů u všech 85 stolů. Doporučení: vyžádat konkrétní nabídku od stolárny co nejdříve a rozpočet podle ní upřesnit.</w:t>
      </w:r>
    </w:p>
    <w:p>
      <w:pPr>
        <w:pStyle w:val="ListParagraph"/>
        <w:numPr>
          <w:ilvl w:val="0"/>
          <w:numId w:val="1"/>
        </w:numPr>
        <w:spacing w:after="100" w:line="280"/>
      </w:pPr>
      <w:r>
        <w:rPr>
          <w:sz w:val="22"/>
          <w:szCs w:val="22"/>
        </w:rPr>
        <w:t xml:space="preserve">Doporučení: prověřit možnost využití dotačních titulů a šablon (např. na digitalizaci škol), i když aktuální nastavení podpory je pro soukromé školy v tomto ohledu omezenější než pro školy zřizované krajem/obcí — přesto stojí za individuální ověření dostupných výzev.</w:t>
      </w:r>
    </w:p>
    <w:p>
      <w:pPr>
        <w:pStyle w:val="Heading1"/>
        <w:spacing w:after="200" w:before="400"/>
      </w:pPr>
      <w:r>
        <w:t xml:space="preserve">7. Zdroje</w:t>
      </w:r>
    </w:p>
    <w:p>
      <w:pPr>
        <w:spacing w:after="160"/>
      </w:pPr>
      <w:r>
        <w:rPr>
          <w:sz w:val="22"/>
          <w:szCs w:val="22"/>
        </w:rPr>
        <w:t xml:space="preserve">EDUin — Jaká je situace středních odborných škol podle aktuálních dat a predikcí?: </w:t>
      </w:r>
      <w:hyperlink w:history="1" r:id="rIdg7cnirxf-axxhl9mhw8zo">
        <w:r>
          <w:rPr>
            <w:rStyle w:val="Hyperlink"/>
            <w:sz w:val="22"/>
            <w:szCs w:val="22"/>
          </w:rPr>
          <w:t xml:space="preserve">https://www.eduin.cz/clanky/jaka-je-situace-strednich-odbornych-skol-podle-aktualnich-dat-a-predikci/</w:t>
        </w:r>
      </w:hyperlink>
    </w:p>
    <w:p>
      <w:pPr>
        <w:spacing w:after="160"/>
      </w:pPr>
      <w:r>
        <w:rPr>
          <w:sz w:val="22"/>
          <w:szCs w:val="22"/>
        </w:rPr>
        <w:t xml:space="preserve">EDUin — Audit 2025: Výzvy demografického vývoje pro české školství: </w:t>
      </w:r>
      <w:hyperlink w:history="1" r:id="rIdg957ioe1hvcbx-3pl4dxd">
        <w:r>
          <w:rPr>
            <w:rStyle w:val="Hyperlink"/>
            <w:sz w:val="22"/>
            <w:szCs w:val="22"/>
          </w:rPr>
          <w:t xml:space="preserve">https://www.eduin.cz/clanky/audit2025-demografie/</w:t>
        </w:r>
      </w:hyperlink>
    </w:p>
    <w:p>
      <w:pPr>
        <w:spacing w:after="160"/>
      </w:pPr>
      <w:r>
        <w:rPr>
          <w:sz w:val="22"/>
          <w:szCs w:val="22"/>
        </w:rPr>
        <w:t xml:space="preserve">Demografická prognóza: Vývoj počtu žáků jako aspekt plánování kapacit ve vzdělávání: </w:t>
      </w:r>
      <w:hyperlink w:history="1" r:id="rIdhbibf2jrfh18l1_lofha8">
        <w:r>
          <w:rPr>
            <w:rStyle w:val="Hyperlink"/>
            <w:sz w:val="22"/>
            <w:szCs w:val="22"/>
          </w:rPr>
          <w:t xml:space="preserve">https://www.infoabsolvent.cz/Temata/Download?Soubor=F-9.0.184_Demograficka_prognoza_Vyvoj_poctu_zaku_jako_aspekt_planovani_kapacit_ve_vzdelavani.pdf</w:t>
        </w:r>
      </w:hyperlink>
    </w:p>
    <w:p>
      <w:pPr>
        <w:spacing w:after="160"/>
      </w:pPr>
      <w:r>
        <w:rPr>
          <w:sz w:val="22"/>
          <w:szCs w:val="22"/>
        </w:rPr>
        <w:t xml:space="preserve">ČSÚ — Studenti vysokých škol v Olomouckém kraji: </w:t>
      </w:r>
      <w:hyperlink w:history="1" r:id="rId8fjptoyxllb2ok2dkin0c">
        <w:r>
          <w:rPr>
            <w:rStyle w:val="Hyperlink"/>
            <w:sz w:val="22"/>
            <w:szCs w:val="22"/>
          </w:rPr>
          <w:t xml:space="preserve">https://csu.gov.cz/olk/studenti-vysokych-skol-v-olomouckem-kraji-2025</w:t>
        </w:r>
      </w:hyperlink>
    </w:p>
    <w:p>
      <w:pPr>
        <w:spacing w:after="160"/>
      </w:pPr>
      <w:r>
        <w:rPr>
          <w:sz w:val="22"/>
          <w:szCs w:val="22"/>
        </w:rPr>
        <w:t xml:space="preserve">Olomoucký kraj — Školství a mládež: </w:t>
      </w:r>
      <w:hyperlink w:history="1" r:id="rIdnkdd2ehptqmvt7ypybkjm">
        <w:r>
          <w:rPr>
            <w:rStyle w:val="Hyperlink"/>
            <w:sz w:val="22"/>
            <w:szCs w:val="22"/>
          </w:rPr>
          <w:t xml:space="preserve">https://www.olkraj.cz/skolstvi-a-mladez</w:t>
        </w:r>
      </w:hyperlink>
    </w:p>
    <w:p>
      <w:pPr>
        <w:spacing w:after="160"/>
      </w:pPr>
      <w:r>
        <w:rPr>
          <w:sz w:val="22"/>
          <w:szCs w:val="22"/>
        </w:rPr>
        <w:t xml:space="preserve">SOŠ Olomouc — Kritéria pro přijímací řízení: </w:t>
      </w:r>
      <w:hyperlink w:history="1" r:id="rIddqaijalz2akk4m0j8hn49">
        <w:r>
          <w:rPr>
            <w:rStyle w:val="Hyperlink"/>
            <w:sz w:val="22"/>
            <w:szCs w:val="22"/>
          </w:rPr>
          <w:t xml:space="preserve">https://skolaodborna.cz/kriteria-pro-prijimaci-rizeni/</w:t>
        </w:r>
      </w:hyperlink>
    </w:p>
    <w:p>
      <w:pPr>
        <w:spacing w:after="160"/>
      </w:pPr>
      <w:r>
        <w:rPr>
          <w:sz w:val="22"/>
          <w:szCs w:val="22"/>
        </w:rPr>
        <w:t xml:space="preserve">SOŠ Olomouc — Přijímací řízení: </w:t>
      </w:r>
      <w:hyperlink w:history="1" r:id="rId9ztzfqlkk05ryhzvfcvgs">
        <w:r>
          <w:rPr>
            <w:rStyle w:val="Hyperlink"/>
            <w:sz w:val="22"/>
            <w:szCs w:val="22"/>
          </w:rPr>
          <w:t xml:space="preserve">https://skolaodborna.cz/chci-studovat/prijimaci-rizeni/</w:t>
        </w:r>
      </w:hyperlink>
    </w:p>
    <w:p>
      <w:pPr>
        <w:spacing w:after="160"/>
      </w:pPr>
      <w:r>
        <w:rPr>
          <w:sz w:val="22"/>
          <w:szCs w:val="22"/>
        </w:rPr>
        <w:t xml:space="preserve">SOŠ Olomouc — Veřejnosprávní činnost: </w:t>
      </w:r>
      <w:hyperlink w:history="1" r:id="rIdghpcr2z2-ogtw7vokmhvj">
        <w:r>
          <w:rPr>
            <w:rStyle w:val="Hyperlink"/>
            <w:sz w:val="22"/>
            <w:szCs w:val="22"/>
          </w:rPr>
          <w:t xml:space="preserve">https://skolaodborna.cz/chci-studovat/verejnospravni-cinnost/</w:t>
        </w:r>
      </w:hyperlink>
    </w:p>
    <w:p>
      <w:pPr>
        <w:spacing w:after="160"/>
      </w:pPr>
      <w:r>
        <w:rPr>
          <w:sz w:val="22"/>
          <w:szCs w:val="22"/>
        </w:rPr>
        <w:t xml:space="preserve">SOŠ Olomouc — Informační služby a mediální komunikace: </w:t>
      </w:r>
      <w:hyperlink w:history="1" r:id="rIdvz_cwe-ngeg12d1zwfr30">
        <w:r>
          <w:rPr>
            <w:rStyle w:val="Hyperlink"/>
            <w:sz w:val="22"/>
            <w:szCs w:val="22"/>
          </w:rPr>
          <w:t xml:space="preserve">https://skolaodborna.cz/chci-studovat/informacni-sluzby-a-medialni-komunikace/</w:t>
        </w:r>
      </w:hyperlink>
    </w:p>
    <w:p>
      <w:pPr>
        <w:spacing w:after="160" w:line="300"/>
      </w:pPr>
      <w:r>
        <w:rPr>
          <w:sz w:val="22"/>
          <w:szCs w:val="22"/>
        </w:rPr>
        <w:t xml:space="preserve">RVP oboru 72-41-M/01 Informační služby a mediální komunikace — interní dokument školy, poskytnutý pro účely tohoto dokumentu.</w:t>
      </w:r>
    </w:p>
    <w:p>
      <w:pPr>
        <w:spacing w:after="160" w:line="300"/>
      </w:pPr>
      <w:r>
        <w:rPr>
          <w:sz w:val="22"/>
          <w:szCs w:val="22"/>
        </w:rPr>
        <w:t xml:space="preserve">Orientační ceny školního nábytku: skolnilavice.cz, skolato.cz, mimicra.cz, tabule-nabytek.cz, insgraf.cz, nabytek-skolni.cz (stav červenec 2026).</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Strana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828675"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28675"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Calibri" w:cs="Calibri" w:eastAsia="Calibri" w:hAnsi="Calibri"/>
      <w:b/>
      <w:bCs/>
      <w:color w:val="1F3864"/>
      <w:sz w:val="32"/>
      <w:szCs w:val="32"/>
    </w:rPr>
  </w:style>
  <w:style w:type="paragraph" w:styleId="Heading2">
    <w:name w:val="Heading 2"/>
    <w:basedOn w:val="Normal"/>
    <w:next w:val="Normal"/>
    <w:qFormat/>
    <w:pPr>
      <w:spacing w:after="150" w:before="300"/>
      <w:outlineLvl w:val="1"/>
    </w:pPr>
    <w:rPr>
      <w:rFonts w:ascii="Calibri" w:cs="Calibri" w:eastAsia="Calibri" w:hAnsi="Calibri"/>
      <w:b/>
      <w:bCs/>
      <w:color w:val="0F7A78"/>
      <w:sz w:val="26"/>
      <w:szCs w:val="26"/>
    </w:rPr>
  </w:style>
  <w:style w:type="paragraph" w:styleId="Heading3">
    <w:name w:val="Heading 3"/>
    <w:basedOn w:val="Normal"/>
    <w:next w:val="Normal"/>
    <w:qFormat/>
    <w:pPr>
      <w:spacing w:after="100" w:before="200"/>
      <w:outlineLvl w:val="2"/>
    </w:pPr>
    <w:rPr>
      <w:rFonts w:ascii="Calibri" w:cs="Calibri" w:eastAsia="Calibri" w:hAnsi="Calibri"/>
      <w:b/>
      <w:bCs/>
      <w:color w:val="33333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kdlhv6vgdrjzjbkq0sgt" Type="http://schemas.openxmlformats.org/officeDocument/2006/relationships/hyperlink" Target="https://www.infoabsolvent.cz/Temata/Download?Soubor=F-9.0.184_Demograficka_prognoza_Vyvoj_poctu_zaku_jako_aspekt_planovani_kapacit_ve_vzdelavani.pdf" TargetMode="External"/><Relationship Id="rIdxtwitu15e3m02gxqn45_7" Type="http://schemas.openxmlformats.org/officeDocument/2006/relationships/hyperlink" Target="https://skolaodborna.cz/kriteria-pro-prijimaci-rizeni/" TargetMode="External"/><Relationship Id="rId8sa5mtlqknrc1y4qxlyyl" Type="http://schemas.openxmlformats.org/officeDocument/2006/relationships/hyperlink" Target="https://skolaodborna.cz/chci-studovat/prijimaci-rizeni/" TargetMode="External"/><Relationship Id="rIdg7cnirxf-axxhl9mhw8zo" Type="http://schemas.openxmlformats.org/officeDocument/2006/relationships/hyperlink" Target="https://www.eduin.cz/clanky/jaka-je-situace-strednich-odbornych-skol-podle-aktualnich-dat-a-predikci/" TargetMode="External"/><Relationship Id="rIdg957ioe1hvcbx-3pl4dxd" Type="http://schemas.openxmlformats.org/officeDocument/2006/relationships/hyperlink" Target="https://www.eduin.cz/clanky/audit2025-demografie/" TargetMode="External"/><Relationship Id="rIdhbibf2jrfh18l1_lofha8" Type="http://schemas.openxmlformats.org/officeDocument/2006/relationships/hyperlink" Target="https://www.infoabsolvent.cz/Temata/Download?Soubor=F-9.0.184_Demograficka_prognoza_Vyvoj_poctu_zaku_jako_aspekt_planovani_kapacit_ve_vzdelavani.pdf" TargetMode="External"/><Relationship Id="rId8fjptoyxllb2ok2dkin0c" Type="http://schemas.openxmlformats.org/officeDocument/2006/relationships/hyperlink" Target="https://csu.gov.cz/olk/studenti-vysokych-skol-v-olomouckem-kraji-2025" TargetMode="External"/><Relationship Id="rIdnkdd2ehptqmvt7ypybkjm" Type="http://schemas.openxmlformats.org/officeDocument/2006/relationships/hyperlink" Target="https://www.olkraj.cz/skolstvi-a-mladez" TargetMode="External"/><Relationship Id="rIddqaijalz2akk4m0j8hn49" Type="http://schemas.openxmlformats.org/officeDocument/2006/relationships/hyperlink" Target="https://skolaodborna.cz/kriteria-pro-prijimaci-rizeni/" TargetMode="External"/><Relationship Id="rId9ztzfqlkk05ryhzvfcvgs" Type="http://schemas.openxmlformats.org/officeDocument/2006/relationships/hyperlink" Target="https://skolaodborna.cz/chci-studovat/prijimaci-rizeni/" TargetMode="External"/><Relationship Id="rIdghpcr2z2-ogtw7vokmhvj" Type="http://schemas.openxmlformats.org/officeDocument/2006/relationships/hyperlink" Target="https://skolaodborna.cz/chci-studovat/verejnospravni-cinnost/" TargetMode="External"/><Relationship Id="rIdvz_cwe-ngeg12d1zwfr30" Type="http://schemas.openxmlformats.org/officeDocument/2006/relationships/hyperlink" Target="https://skolaodborna.cz/chci-studovat/informacni-sluzby-a-medialni-komunikace/" TargetMode="External"/><Relationship Id="rId9" Type="http://schemas.openxmlformats.org/officeDocument/2006/relationships/image" Target="media/7be62eb2d88d64fead73d70ac27b71fc8027bc9a.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e62eb2d88d64fead73d70ac27b71fc8027bc9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2026-07-30T12:30:39.955Z</dcterms:created>
  <dcterms:modified xsi:type="dcterms:W3CDTF">2026-07-30T12:30:39.973Z</dcterms:modified>
</cp:coreProperties>
</file>

<file path=docProps/custom.xml><?xml version="1.0" encoding="utf-8"?>
<Properties xmlns="http://schemas.openxmlformats.org/officeDocument/2006/custom-properties" xmlns:vt="http://schemas.openxmlformats.org/officeDocument/2006/docPropsVTypes"/>
</file>